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1B" w:rsidRPr="00B524C4" w:rsidRDefault="0013751B" w:rsidP="003164AF">
      <w:pPr>
        <w:rPr>
          <w:rFonts w:ascii="Times New Roman" w:eastAsia="標楷體" w:hAnsi="Times New Roman" w:hint="eastAsia"/>
          <w:bCs/>
          <w:sz w:val="40"/>
          <w:szCs w:val="40"/>
        </w:rPr>
      </w:pPr>
      <w:bookmarkStart w:id="0" w:name="_GoBack"/>
      <w:bookmarkEnd w:id="0"/>
      <w:r w:rsidRPr="00B524C4">
        <w:rPr>
          <w:rFonts w:ascii="Times New Roman" w:eastAsia="標楷體" w:hAnsi="Times New Roman" w:cs="細明體" w:hint="eastAsia"/>
          <w:kern w:val="0"/>
          <w:sz w:val="40"/>
          <w:szCs w:val="40"/>
          <w:lang w:val="zh-TW"/>
        </w:rPr>
        <w:t>兒童及少年性</w:t>
      </w:r>
      <w:r w:rsidR="000C7D8A" w:rsidRPr="00B524C4">
        <w:rPr>
          <w:rFonts w:ascii="Times New Roman" w:eastAsia="標楷體" w:hAnsi="Times New Roman" w:cs="細明體" w:hint="eastAsia"/>
          <w:kern w:val="0"/>
          <w:sz w:val="40"/>
          <w:szCs w:val="40"/>
          <w:lang w:val="zh-TW"/>
        </w:rPr>
        <w:t>交易</w:t>
      </w:r>
      <w:r w:rsidR="00691C6F" w:rsidRPr="00B524C4">
        <w:rPr>
          <w:rFonts w:ascii="Times New Roman" w:eastAsia="標楷體" w:hAnsi="Times New Roman" w:cs="細明體" w:hint="eastAsia"/>
          <w:kern w:val="0"/>
          <w:sz w:val="40"/>
          <w:szCs w:val="40"/>
          <w:lang w:val="zh-TW"/>
        </w:rPr>
        <w:t>防制條例施行細則</w:t>
      </w:r>
      <w:r w:rsidRPr="00B524C4">
        <w:rPr>
          <w:rFonts w:ascii="Times New Roman" w:eastAsia="標楷體" w:hAnsi="Times New Roman" w:cs="細明體" w:hint="eastAsia"/>
          <w:kern w:val="0"/>
          <w:sz w:val="40"/>
          <w:szCs w:val="40"/>
          <w:lang w:val="zh-TW"/>
        </w:rPr>
        <w:t>修正</w:t>
      </w:r>
      <w:r w:rsidR="005919A4" w:rsidRPr="00B524C4">
        <w:rPr>
          <w:rFonts w:ascii="Times New Roman" w:eastAsia="標楷體" w:hAnsi="Times New Roman" w:cs="細明體" w:hint="eastAsia"/>
          <w:kern w:val="0"/>
          <w:sz w:val="40"/>
          <w:szCs w:val="40"/>
          <w:lang w:val="zh-TW"/>
        </w:rPr>
        <w:t>條文</w:t>
      </w:r>
      <w:r w:rsidRPr="00B524C4">
        <w:rPr>
          <w:rFonts w:ascii="Times New Roman" w:eastAsia="標楷體" w:hAnsi="Times New Roman" w:cs="細明體" w:hint="eastAsia"/>
          <w:kern w:val="0"/>
          <w:sz w:val="40"/>
          <w:szCs w:val="40"/>
          <w:lang w:val="zh-TW"/>
        </w:rPr>
        <w:t>總說明</w:t>
      </w:r>
    </w:p>
    <w:p w:rsidR="00214BF1" w:rsidRPr="00B524C4" w:rsidRDefault="00497B8B" w:rsidP="007F4C09">
      <w:pPr>
        <w:spacing w:line="460" w:lineRule="exact"/>
        <w:ind w:rightChars="-44" w:right="-106" w:firstLineChars="202" w:firstLine="566"/>
        <w:jc w:val="both"/>
        <w:rPr>
          <w:rFonts w:ascii="Times New Roman" w:eastAsia="標楷體" w:hAnsi="Times New Roman" w:hint="eastAsia"/>
          <w:bCs/>
          <w:sz w:val="28"/>
          <w:szCs w:val="28"/>
        </w:rPr>
      </w:pPr>
      <w:r w:rsidRPr="00B524C4">
        <w:rPr>
          <w:rFonts w:ascii="Times New Roman" w:eastAsia="標楷體" w:hAnsi="Times New Roman" w:hint="eastAsia"/>
          <w:bCs/>
          <w:sz w:val="28"/>
          <w:szCs w:val="28"/>
        </w:rPr>
        <w:t>兒童及少年性交易防制條例</w:t>
      </w:r>
      <w:r w:rsidR="00665D83" w:rsidRPr="00B524C4">
        <w:rPr>
          <w:rFonts w:ascii="Times New Roman" w:eastAsia="標楷體" w:hAnsi="Times New Roman" w:hint="eastAsia"/>
          <w:bCs/>
          <w:sz w:val="28"/>
          <w:szCs w:val="28"/>
        </w:rPr>
        <w:t>於一百零四年二月四日經總統</w:t>
      </w:r>
      <w:proofErr w:type="gramStart"/>
      <w:r w:rsidR="00665D83" w:rsidRPr="00B524C4">
        <w:rPr>
          <w:rFonts w:ascii="Times New Roman" w:eastAsia="標楷體" w:hAnsi="Times New Roman" w:hint="eastAsia"/>
          <w:bCs/>
          <w:sz w:val="28"/>
          <w:szCs w:val="28"/>
        </w:rPr>
        <w:t>華總一義字第</w:t>
      </w:r>
      <w:r w:rsidR="00FC07A5" w:rsidRPr="00B524C4">
        <w:rPr>
          <w:rFonts w:ascii="Times New Roman" w:eastAsia="標楷體" w:hAnsi="Times New Roman" w:hint="eastAsia"/>
          <w:bCs/>
          <w:sz w:val="28"/>
          <w:szCs w:val="28"/>
        </w:rPr>
        <w:t>一</w:t>
      </w:r>
      <w:proofErr w:type="gramEnd"/>
      <w:r w:rsidR="003164AF" w:rsidRPr="00B524C4">
        <w:rPr>
          <w:rFonts w:ascii="Times New Roman" w:eastAsia="標楷體" w:hAnsi="Times New Roman" w:hint="eastAsia"/>
          <w:bCs/>
          <w:sz w:val="28"/>
          <w:szCs w:val="28"/>
        </w:rPr>
        <w:t>０</w:t>
      </w:r>
      <w:proofErr w:type="gramStart"/>
      <w:r w:rsidR="00FC07A5" w:rsidRPr="00B524C4">
        <w:rPr>
          <w:rFonts w:ascii="Times New Roman" w:eastAsia="標楷體" w:hAnsi="Times New Roman" w:hint="eastAsia"/>
          <w:bCs/>
          <w:sz w:val="28"/>
          <w:szCs w:val="28"/>
        </w:rPr>
        <w:t>四</w:t>
      </w:r>
      <w:r w:rsidR="003164AF" w:rsidRPr="00B524C4">
        <w:rPr>
          <w:rFonts w:ascii="Times New Roman" w:eastAsia="標楷體" w:hAnsi="Times New Roman" w:hint="eastAsia"/>
          <w:bCs/>
          <w:sz w:val="28"/>
          <w:szCs w:val="28"/>
        </w:rPr>
        <w:t>０００</w:t>
      </w:r>
      <w:proofErr w:type="gramEnd"/>
      <w:r w:rsidR="00FC07A5" w:rsidRPr="00B524C4">
        <w:rPr>
          <w:rFonts w:ascii="Times New Roman" w:eastAsia="標楷體" w:hAnsi="Times New Roman" w:hint="eastAsia"/>
          <w:bCs/>
          <w:sz w:val="28"/>
          <w:szCs w:val="28"/>
        </w:rPr>
        <w:t>一四二</w:t>
      </w:r>
      <w:r w:rsidR="003164AF" w:rsidRPr="00B524C4">
        <w:rPr>
          <w:rFonts w:ascii="Times New Roman" w:eastAsia="標楷體" w:hAnsi="Times New Roman" w:hint="eastAsia"/>
          <w:bCs/>
          <w:sz w:val="28"/>
          <w:szCs w:val="28"/>
        </w:rPr>
        <w:t>０</w:t>
      </w:r>
      <w:proofErr w:type="gramStart"/>
      <w:r w:rsidR="00FC07A5" w:rsidRPr="00B524C4">
        <w:rPr>
          <w:rFonts w:ascii="Times New Roman" w:eastAsia="標楷體" w:hAnsi="Times New Roman" w:hint="eastAsia"/>
          <w:bCs/>
          <w:sz w:val="28"/>
          <w:szCs w:val="28"/>
        </w:rPr>
        <w:t>一</w:t>
      </w:r>
      <w:proofErr w:type="gramEnd"/>
      <w:r w:rsidR="00665D83" w:rsidRPr="00B524C4">
        <w:rPr>
          <w:rFonts w:ascii="Times New Roman" w:eastAsia="標楷體" w:hAnsi="Times New Roman" w:hint="eastAsia"/>
          <w:bCs/>
          <w:sz w:val="28"/>
          <w:szCs w:val="28"/>
        </w:rPr>
        <w:t>號令修正公布，法規名稱修正為兒童及少年性剝削防制條例</w:t>
      </w:r>
      <w:r w:rsidR="00122D6B">
        <w:rPr>
          <w:rFonts w:ascii="新細明體" w:hAnsi="新細明體" w:hint="eastAsia"/>
          <w:bCs/>
          <w:sz w:val="28"/>
          <w:szCs w:val="28"/>
        </w:rPr>
        <w:t>（</w:t>
      </w:r>
      <w:r w:rsidR="00AB3E07" w:rsidRPr="00B524C4">
        <w:rPr>
          <w:rFonts w:ascii="Times New Roman" w:eastAsia="標楷體" w:hAnsi="Times New Roman" w:hint="eastAsia"/>
          <w:bCs/>
          <w:sz w:val="28"/>
          <w:szCs w:val="28"/>
        </w:rPr>
        <w:t>以下簡稱本條例</w:t>
      </w:r>
      <w:r w:rsidR="00122D6B">
        <w:rPr>
          <w:rFonts w:ascii="新細明體" w:hAnsi="新細明體" w:hint="eastAsia"/>
          <w:bCs/>
          <w:sz w:val="28"/>
          <w:szCs w:val="28"/>
        </w:rPr>
        <w:t>）</w:t>
      </w:r>
      <w:r w:rsidR="009D7688" w:rsidRPr="00B524C4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1D5427" w:rsidRPr="00B524C4">
        <w:rPr>
          <w:rFonts w:ascii="Times New Roman" w:eastAsia="標楷體" w:hAnsi="Times New Roman" w:hint="eastAsia"/>
          <w:bCs/>
          <w:sz w:val="28"/>
          <w:szCs w:val="28"/>
        </w:rPr>
        <w:t>本</w:t>
      </w:r>
      <w:r w:rsidR="00A6628A" w:rsidRPr="00B524C4">
        <w:rPr>
          <w:rFonts w:ascii="Times New Roman" w:eastAsia="標楷體" w:hAnsi="Times New Roman" w:hint="eastAsia"/>
          <w:bCs/>
          <w:sz w:val="28"/>
          <w:szCs w:val="28"/>
        </w:rPr>
        <w:t>次</w:t>
      </w:r>
      <w:r w:rsidR="001F0B62" w:rsidRPr="00B524C4">
        <w:rPr>
          <w:rFonts w:ascii="Times New Roman" w:eastAsia="標楷體" w:hAnsi="Times New Roman" w:hint="eastAsia"/>
          <w:bCs/>
          <w:sz w:val="28"/>
          <w:szCs w:val="28"/>
        </w:rPr>
        <w:t>修正係全文修正，修正</w:t>
      </w:r>
      <w:r w:rsidR="001F0B62" w:rsidRPr="00B524C4">
        <w:rPr>
          <w:rFonts w:ascii="Times New Roman" w:eastAsia="標楷體" w:hAnsi="Times New Roman" w:hint="eastAsia"/>
          <w:sz w:val="28"/>
          <w:szCs w:val="28"/>
        </w:rPr>
        <w:t>條文由現行三十九條增列至五十五條</w:t>
      </w:r>
      <w:r w:rsidR="00537014" w:rsidRPr="00B524C4">
        <w:rPr>
          <w:rFonts w:ascii="Times New Roman" w:eastAsia="標楷體" w:hAnsi="Times New Roman" w:hint="eastAsia"/>
          <w:sz w:val="28"/>
          <w:szCs w:val="28"/>
        </w:rPr>
        <w:t>。</w:t>
      </w:r>
      <w:r w:rsidR="004B6783" w:rsidRPr="00B524C4">
        <w:rPr>
          <w:rFonts w:ascii="Times New Roman" w:eastAsia="標楷體" w:hAnsi="Times New Roman" w:hint="eastAsia"/>
          <w:sz w:val="28"/>
          <w:szCs w:val="28"/>
        </w:rPr>
        <w:t>依本條例</w:t>
      </w:r>
      <w:r w:rsidR="000841C7" w:rsidRPr="00B524C4">
        <w:rPr>
          <w:rFonts w:ascii="Times New Roman" w:eastAsia="標楷體" w:hAnsi="Times New Roman" w:hint="eastAsia"/>
          <w:bCs/>
          <w:sz w:val="28"/>
          <w:szCs w:val="28"/>
        </w:rPr>
        <w:t>第五十</w:t>
      </w:r>
      <w:r w:rsidR="001F0B62" w:rsidRPr="00B524C4">
        <w:rPr>
          <w:rFonts w:ascii="Times New Roman" w:eastAsia="標楷體" w:hAnsi="Times New Roman" w:hint="eastAsia"/>
          <w:bCs/>
          <w:sz w:val="28"/>
          <w:szCs w:val="28"/>
        </w:rPr>
        <w:t>四</w:t>
      </w:r>
      <w:r w:rsidR="000841C7" w:rsidRPr="00B524C4">
        <w:rPr>
          <w:rFonts w:ascii="Times New Roman" w:eastAsia="標楷體" w:hAnsi="Times New Roman" w:hint="eastAsia"/>
          <w:bCs/>
          <w:sz w:val="28"/>
          <w:szCs w:val="28"/>
        </w:rPr>
        <w:t>條規定：「</w:t>
      </w:r>
      <w:r w:rsidR="00317FD8" w:rsidRPr="00B524C4">
        <w:rPr>
          <w:rFonts w:ascii="Times New Roman" w:eastAsia="標楷體" w:hAnsi="Times New Roman" w:hint="eastAsia"/>
          <w:bCs/>
          <w:sz w:val="28"/>
          <w:szCs w:val="28"/>
        </w:rPr>
        <w:t>本條例施行細則</w:t>
      </w:r>
      <w:r w:rsidR="00DF7E57" w:rsidRPr="00B524C4">
        <w:rPr>
          <w:rFonts w:ascii="Times New Roman" w:eastAsia="標楷體" w:hAnsi="Times New Roman" w:hint="eastAsia"/>
          <w:bCs/>
          <w:sz w:val="28"/>
          <w:szCs w:val="28"/>
        </w:rPr>
        <w:t>由中央主管機關定之</w:t>
      </w:r>
      <w:r w:rsidR="000841C7" w:rsidRPr="00B524C4">
        <w:rPr>
          <w:rFonts w:ascii="Times New Roman" w:eastAsia="標楷體" w:hAnsi="Times New Roman" w:hint="eastAsia"/>
          <w:bCs/>
          <w:sz w:val="28"/>
          <w:szCs w:val="28"/>
        </w:rPr>
        <w:t>」</w:t>
      </w:r>
      <w:r w:rsidR="00DF7E57" w:rsidRPr="00B524C4">
        <w:rPr>
          <w:rFonts w:ascii="Times New Roman" w:eastAsia="標楷體" w:hAnsi="Times New Roman" w:hint="eastAsia"/>
          <w:bCs/>
          <w:sz w:val="28"/>
          <w:szCs w:val="28"/>
        </w:rPr>
        <w:t>，</w:t>
      </w:r>
      <w:proofErr w:type="gramStart"/>
      <w:r w:rsidR="00AB3E07" w:rsidRPr="00B524C4">
        <w:rPr>
          <w:rFonts w:ascii="Times New Roman" w:eastAsia="標楷體" w:hAnsi="Times New Roman" w:hint="eastAsia"/>
          <w:sz w:val="28"/>
          <w:szCs w:val="28"/>
        </w:rPr>
        <w:t>爰</w:t>
      </w:r>
      <w:proofErr w:type="gramEnd"/>
      <w:r w:rsidR="00DC111D" w:rsidRPr="00B524C4">
        <w:rPr>
          <w:rFonts w:ascii="Times New Roman" w:eastAsia="標楷體" w:hAnsi="Times New Roman" w:hint="eastAsia"/>
          <w:bCs/>
          <w:color w:val="FF0000"/>
          <w:sz w:val="28"/>
          <w:szCs w:val="28"/>
        </w:rPr>
        <w:t>修正</w:t>
      </w:r>
      <w:r w:rsidR="008E3744" w:rsidRPr="00B524C4">
        <w:rPr>
          <w:rFonts w:ascii="Times New Roman" w:eastAsia="標楷體" w:hAnsi="Times New Roman" w:hint="eastAsia"/>
          <w:bCs/>
          <w:sz w:val="28"/>
          <w:szCs w:val="28"/>
        </w:rPr>
        <w:t>「兒童及少年性交易</w:t>
      </w:r>
      <w:r w:rsidR="00317FD8" w:rsidRPr="00B524C4">
        <w:rPr>
          <w:rFonts w:ascii="Times New Roman" w:eastAsia="標楷體" w:hAnsi="Times New Roman" w:hint="eastAsia"/>
          <w:bCs/>
          <w:sz w:val="28"/>
          <w:szCs w:val="28"/>
        </w:rPr>
        <w:t>防制條例施行細則</w:t>
      </w:r>
      <w:r w:rsidR="00F517CC" w:rsidRPr="00B524C4">
        <w:rPr>
          <w:rFonts w:ascii="Times New Roman" w:eastAsia="標楷體" w:hAnsi="Times New Roman" w:hint="eastAsia"/>
          <w:bCs/>
          <w:sz w:val="28"/>
          <w:szCs w:val="28"/>
        </w:rPr>
        <w:t>」</w:t>
      </w:r>
      <w:r w:rsidR="008E3744" w:rsidRPr="00B524C4">
        <w:rPr>
          <w:rFonts w:ascii="Times New Roman" w:eastAsia="標楷體" w:hAnsi="Times New Roman" w:hint="eastAsia"/>
          <w:bCs/>
          <w:sz w:val="28"/>
          <w:szCs w:val="28"/>
        </w:rPr>
        <w:t>，名稱並修正</w:t>
      </w:r>
      <w:r w:rsidR="009450BC" w:rsidRPr="00B524C4">
        <w:rPr>
          <w:rFonts w:ascii="Times New Roman" w:eastAsia="標楷體" w:hAnsi="Times New Roman" w:hint="eastAsia"/>
          <w:bCs/>
          <w:sz w:val="28"/>
          <w:szCs w:val="28"/>
        </w:rPr>
        <w:t>為</w:t>
      </w:r>
      <w:r w:rsidR="00D02972" w:rsidRPr="00B524C4">
        <w:rPr>
          <w:rFonts w:ascii="Times New Roman" w:eastAsia="標楷體" w:hAnsi="Times New Roman" w:hint="eastAsia"/>
          <w:bCs/>
          <w:sz w:val="28"/>
          <w:szCs w:val="28"/>
        </w:rPr>
        <w:t>「</w:t>
      </w:r>
      <w:r w:rsidR="00317FD8" w:rsidRPr="00B524C4">
        <w:rPr>
          <w:rFonts w:ascii="Times New Roman" w:eastAsia="標楷體" w:hAnsi="Times New Roman" w:hint="eastAsia"/>
          <w:bCs/>
          <w:sz w:val="28"/>
          <w:szCs w:val="28"/>
        </w:rPr>
        <w:t>兒童及少年性剝削防制條例施行細則</w:t>
      </w:r>
      <w:r w:rsidR="00D02972" w:rsidRPr="00B524C4">
        <w:rPr>
          <w:rFonts w:ascii="Times New Roman" w:eastAsia="標楷體" w:hAnsi="Times New Roman" w:hint="eastAsia"/>
          <w:bCs/>
          <w:sz w:val="28"/>
          <w:szCs w:val="28"/>
        </w:rPr>
        <w:t>」</w:t>
      </w:r>
      <w:r w:rsidR="00E15C2D" w:rsidRPr="00B524C4">
        <w:rPr>
          <w:rFonts w:ascii="Times New Roman" w:eastAsia="標楷體" w:hAnsi="Times New Roman" w:hint="eastAsia"/>
          <w:bCs/>
          <w:sz w:val="28"/>
          <w:szCs w:val="28"/>
        </w:rPr>
        <w:t>。</w:t>
      </w:r>
      <w:r w:rsidR="00A2024D" w:rsidRPr="00B524C4">
        <w:rPr>
          <w:rFonts w:ascii="Times New Roman" w:eastAsia="標楷體" w:hAnsi="Times New Roman" w:cs="Arial" w:hint="eastAsia"/>
          <w:sz w:val="28"/>
          <w:szCs w:val="28"/>
        </w:rPr>
        <w:t>其</w:t>
      </w:r>
      <w:r w:rsidR="007F4C09" w:rsidRPr="00B524C4">
        <w:rPr>
          <w:rFonts w:ascii="Times New Roman" w:eastAsia="標楷體" w:hAnsi="Times New Roman" w:hint="eastAsia"/>
          <w:bCs/>
          <w:sz w:val="28"/>
          <w:szCs w:val="28"/>
        </w:rPr>
        <w:t>修正要點</w:t>
      </w:r>
      <w:r w:rsidR="008E3744" w:rsidRPr="00B524C4">
        <w:rPr>
          <w:rFonts w:ascii="Times New Roman" w:eastAsia="標楷體" w:hAnsi="Times New Roman" w:hint="eastAsia"/>
          <w:bCs/>
          <w:sz w:val="28"/>
          <w:szCs w:val="28"/>
        </w:rPr>
        <w:t>如下</w:t>
      </w:r>
      <w:r w:rsidR="002D783F" w:rsidRPr="00B524C4">
        <w:rPr>
          <w:rFonts w:ascii="Times New Roman" w:eastAsia="標楷體" w:hAnsi="Times New Roman" w:hint="eastAsia"/>
          <w:bCs/>
          <w:sz w:val="28"/>
          <w:szCs w:val="28"/>
        </w:rPr>
        <w:t>：</w:t>
      </w:r>
    </w:p>
    <w:p w:rsidR="00847087" w:rsidRPr="00B524C4" w:rsidRDefault="00DC1BAE" w:rsidP="00595F66">
      <w:pPr>
        <w:numPr>
          <w:ilvl w:val="0"/>
          <w:numId w:val="2"/>
        </w:numPr>
        <w:spacing w:line="460" w:lineRule="exact"/>
        <w:jc w:val="both"/>
        <w:rPr>
          <w:rFonts w:ascii="Times New Roman" w:eastAsia="標楷體" w:hAnsi="Times New Roman" w:cs="Arial" w:hint="eastAsia"/>
          <w:sz w:val="28"/>
          <w:szCs w:val="28"/>
        </w:rPr>
      </w:pPr>
      <w:r w:rsidRPr="00B524C4">
        <w:rPr>
          <w:rFonts w:ascii="Times New Roman" w:eastAsia="標楷體" w:hAnsi="Times New Roman" w:cs="Arial" w:hint="eastAsia"/>
          <w:sz w:val="28"/>
          <w:szCs w:val="28"/>
        </w:rPr>
        <w:t>本條例所稱直轄市、縣</w:t>
      </w:r>
      <w:r w:rsidR="001A4328" w:rsidRPr="00B524C4">
        <w:rPr>
          <w:rFonts w:ascii="Times New Roman" w:eastAsia="標楷體" w:hAnsi="Times New Roman" w:cs="Arial" w:hint="eastAsia"/>
          <w:sz w:val="28"/>
          <w:szCs w:val="28"/>
        </w:rPr>
        <w:t>（</w:t>
      </w:r>
      <w:r w:rsidRPr="00B524C4">
        <w:rPr>
          <w:rFonts w:ascii="Times New Roman" w:eastAsia="標楷體" w:hAnsi="Times New Roman" w:cs="Arial" w:hint="eastAsia"/>
          <w:sz w:val="28"/>
          <w:szCs w:val="28"/>
        </w:rPr>
        <w:t>市</w:t>
      </w:r>
      <w:r w:rsidR="001A4328" w:rsidRPr="00B524C4">
        <w:rPr>
          <w:rFonts w:ascii="Times New Roman" w:eastAsia="標楷體" w:hAnsi="Times New Roman" w:cs="Arial" w:hint="eastAsia"/>
          <w:sz w:val="28"/>
          <w:szCs w:val="28"/>
        </w:rPr>
        <w:t>）</w:t>
      </w:r>
      <w:r w:rsidRPr="00B524C4">
        <w:rPr>
          <w:rFonts w:ascii="Times New Roman" w:eastAsia="標楷體" w:hAnsi="Times New Roman" w:cs="Arial" w:hint="eastAsia"/>
          <w:sz w:val="28"/>
          <w:szCs w:val="28"/>
        </w:rPr>
        <w:t>主管機關</w:t>
      </w:r>
      <w:r w:rsidR="00DC111D" w:rsidRPr="00B524C4">
        <w:rPr>
          <w:rFonts w:ascii="Times New Roman" w:eastAsia="標楷體" w:hAnsi="Times New Roman" w:cs="Arial" w:hint="eastAsia"/>
          <w:color w:val="FF0000"/>
          <w:sz w:val="28"/>
          <w:szCs w:val="28"/>
        </w:rPr>
        <w:t>及</w:t>
      </w:r>
      <w:r w:rsidRPr="00B524C4">
        <w:rPr>
          <w:rFonts w:ascii="Times New Roman" w:eastAsia="標楷體" w:hAnsi="Times New Roman" w:cs="Arial" w:hint="eastAsia"/>
          <w:sz w:val="28"/>
          <w:szCs w:val="28"/>
        </w:rPr>
        <w:t>目的事業主管機關</w:t>
      </w:r>
      <w:r w:rsidR="00DB1188" w:rsidRPr="00B524C4">
        <w:rPr>
          <w:rFonts w:ascii="Times New Roman" w:eastAsia="標楷體" w:hAnsi="Times New Roman" w:cs="Arial" w:hint="eastAsia"/>
          <w:color w:val="FF0000"/>
          <w:sz w:val="28"/>
          <w:szCs w:val="28"/>
        </w:rPr>
        <w:t>之定義</w:t>
      </w:r>
      <w:r w:rsidR="00895388" w:rsidRPr="00B524C4">
        <w:rPr>
          <w:rFonts w:ascii="Times New Roman" w:eastAsia="標楷體" w:hAnsi="Times New Roman" w:cs="Arial" w:hint="eastAsia"/>
          <w:kern w:val="0"/>
          <w:sz w:val="28"/>
          <w:szCs w:val="28"/>
        </w:rPr>
        <w:t>。</w:t>
      </w:r>
      <w:r w:rsidR="00DA6A80" w:rsidRPr="00B524C4">
        <w:rPr>
          <w:rFonts w:ascii="Times New Roman" w:eastAsia="標楷體" w:hAnsi="Times New Roman" w:cs="Arial" w:hint="eastAsia"/>
          <w:kern w:val="0"/>
          <w:sz w:val="28"/>
          <w:szCs w:val="28"/>
        </w:rPr>
        <w:t>（</w:t>
      </w:r>
      <w:r w:rsidR="00E5615F" w:rsidRPr="00B524C4">
        <w:rPr>
          <w:rFonts w:ascii="Times New Roman" w:eastAsia="標楷體" w:hAnsi="Times New Roman" w:hint="eastAsia"/>
          <w:bCs/>
          <w:sz w:val="28"/>
          <w:szCs w:val="28"/>
        </w:rPr>
        <w:t>修正條文第三條）</w:t>
      </w:r>
    </w:p>
    <w:p w:rsidR="00D56847" w:rsidRPr="00B524C4" w:rsidRDefault="00D56847" w:rsidP="00FB0BF8">
      <w:pPr>
        <w:numPr>
          <w:ilvl w:val="0"/>
          <w:numId w:val="2"/>
        </w:numPr>
        <w:spacing w:line="460" w:lineRule="exact"/>
        <w:jc w:val="both"/>
        <w:rPr>
          <w:rFonts w:ascii="Times New Roman" w:eastAsia="標楷體" w:hAnsi="Times New Roman" w:cs="Arial" w:hint="eastAsia"/>
          <w:sz w:val="28"/>
          <w:szCs w:val="28"/>
        </w:rPr>
      </w:pPr>
      <w:r w:rsidRPr="00B524C4">
        <w:rPr>
          <w:rFonts w:ascii="Times New Roman" w:eastAsia="標楷體" w:hAnsi="Times New Roman" w:cs="Arial" w:hint="eastAsia"/>
          <w:sz w:val="28"/>
          <w:szCs w:val="28"/>
        </w:rPr>
        <w:t>警察及司法人員</w:t>
      </w:r>
      <w:r w:rsidR="00FB0BF8" w:rsidRPr="00B524C4">
        <w:rPr>
          <w:rFonts w:ascii="Times New Roman" w:eastAsia="標楷體" w:hAnsi="Times New Roman" w:cs="Arial" w:hint="eastAsia"/>
          <w:sz w:val="28"/>
          <w:szCs w:val="28"/>
        </w:rPr>
        <w:t>在社會工作人員未到場時，得</w:t>
      </w:r>
      <w:proofErr w:type="gramStart"/>
      <w:r w:rsidRPr="00B524C4">
        <w:rPr>
          <w:rFonts w:ascii="Times New Roman" w:eastAsia="標楷體" w:hAnsi="Times New Roman" w:cs="Arial" w:hint="eastAsia"/>
          <w:sz w:val="28"/>
          <w:szCs w:val="28"/>
        </w:rPr>
        <w:t>逕</w:t>
      </w:r>
      <w:proofErr w:type="gramEnd"/>
      <w:r w:rsidRPr="00B524C4">
        <w:rPr>
          <w:rFonts w:ascii="Times New Roman" w:eastAsia="標楷體" w:hAnsi="Times New Roman" w:cs="Arial" w:hint="eastAsia"/>
          <w:sz w:val="28"/>
          <w:szCs w:val="28"/>
        </w:rPr>
        <w:t>請檢察官進行本條例第九條第一項訊問</w:t>
      </w:r>
      <w:r w:rsidR="00F91C59" w:rsidRPr="00B524C4">
        <w:rPr>
          <w:rFonts w:ascii="Times New Roman" w:eastAsia="標楷體" w:hAnsi="Times New Roman" w:cs="Arial" w:hint="eastAsia"/>
          <w:color w:val="FF0000"/>
          <w:sz w:val="28"/>
          <w:szCs w:val="28"/>
        </w:rPr>
        <w:t>之情形</w:t>
      </w:r>
      <w:r w:rsidRPr="00B524C4">
        <w:rPr>
          <w:rFonts w:ascii="Times New Roman" w:eastAsia="標楷體" w:hAnsi="Times New Roman" w:cs="Arial" w:hint="eastAsia"/>
          <w:sz w:val="28"/>
          <w:szCs w:val="28"/>
        </w:rPr>
        <w:t>。（修正條文第六條）</w:t>
      </w:r>
    </w:p>
    <w:p w:rsidR="00595F66" w:rsidRPr="00B524C4" w:rsidRDefault="00E37E0D" w:rsidP="00595F66">
      <w:pPr>
        <w:numPr>
          <w:ilvl w:val="0"/>
          <w:numId w:val="2"/>
        </w:numPr>
        <w:spacing w:line="460" w:lineRule="exact"/>
        <w:jc w:val="both"/>
        <w:rPr>
          <w:rFonts w:ascii="Times New Roman" w:eastAsia="標楷體" w:hAnsi="Times New Roman" w:cs="Arial" w:hint="eastAsia"/>
          <w:color w:val="FF0000"/>
          <w:sz w:val="28"/>
          <w:szCs w:val="28"/>
        </w:rPr>
      </w:pPr>
      <w:r w:rsidRPr="00B524C4">
        <w:rPr>
          <w:rFonts w:ascii="Times New Roman" w:eastAsia="標楷體" w:hAnsi="Times New Roman" w:hint="eastAsia"/>
          <w:bCs/>
          <w:color w:val="FF0000"/>
          <w:sz w:val="28"/>
          <w:szCs w:val="28"/>
        </w:rPr>
        <w:t>配合本條例</w:t>
      </w:r>
      <w:r w:rsidR="00414BA4" w:rsidRPr="00B524C4">
        <w:rPr>
          <w:rFonts w:ascii="Times New Roman" w:eastAsia="標楷體" w:hAnsi="Times New Roman" w:hint="eastAsia"/>
          <w:color w:val="FF0000"/>
          <w:sz w:val="28"/>
          <w:szCs w:val="28"/>
        </w:rPr>
        <w:t>第十五條第一項</w:t>
      </w:r>
      <w:r w:rsidRPr="00B524C4">
        <w:rPr>
          <w:rFonts w:ascii="Times New Roman" w:eastAsia="標楷體" w:hAnsi="Times New Roman" w:hint="eastAsia"/>
          <w:bCs/>
          <w:color w:val="FF0000"/>
          <w:sz w:val="28"/>
          <w:szCs w:val="28"/>
        </w:rPr>
        <w:t>，</w:t>
      </w:r>
      <w:r w:rsidR="001E202F" w:rsidRPr="00B524C4">
        <w:rPr>
          <w:rFonts w:ascii="Times New Roman" w:eastAsia="標楷體" w:hAnsi="Times New Roman" w:hint="eastAsia"/>
          <w:color w:val="FF0000"/>
          <w:sz w:val="28"/>
          <w:szCs w:val="28"/>
        </w:rPr>
        <w:t>司法警察官或司法警察</w:t>
      </w:r>
      <w:r w:rsidR="00414BA4" w:rsidRPr="00B524C4">
        <w:rPr>
          <w:rFonts w:ascii="Times New Roman" w:eastAsia="標楷體" w:hAnsi="Times New Roman" w:hint="eastAsia"/>
          <w:color w:val="FF0000"/>
          <w:sz w:val="28"/>
          <w:szCs w:val="28"/>
        </w:rPr>
        <w:t>應檢具報告（通報）單等相關資料</w:t>
      </w:r>
      <w:r w:rsidR="001E202F" w:rsidRPr="00B524C4">
        <w:rPr>
          <w:rFonts w:ascii="Times New Roman" w:eastAsia="標楷體" w:hAnsi="Times New Roman" w:hint="eastAsia"/>
          <w:color w:val="FF0000"/>
          <w:sz w:val="28"/>
          <w:szCs w:val="28"/>
        </w:rPr>
        <w:t>予</w:t>
      </w:r>
      <w:r w:rsidR="00414BA4" w:rsidRPr="00B524C4">
        <w:rPr>
          <w:rFonts w:ascii="Times New Roman" w:eastAsia="標楷體" w:hAnsi="Times New Roman" w:hint="eastAsia"/>
          <w:color w:val="FF0000"/>
          <w:sz w:val="28"/>
          <w:szCs w:val="28"/>
        </w:rPr>
        <w:t>當地直轄市、縣</w:t>
      </w:r>
      <w:r w:rsidR="00414BA4" w:rsidRPr="00B524C4">
        <w:rPr>
          <w:rFonts w:ascii="Times New Roman" w:eastAsia="標楷體" w:hAnsi="Times New Roman" w:hint="eastAsia"/>
          <w:color w:val="FF0000"/>
          <w:sz w:val="28"/>
          <w:szCs w:val="28"/>
        </w:rPr>
        <w:t>(</w:t>
      </w:r>
      <w:r w:rsidR="00414BA4" w:rsidRPr="00B524C4">
        <w:rPr>
          <w:rFonts w:ascii="Times New Roman" w:eastAsia="標楷體" w:hAnsi="Times New Roman" w:hint="eastAsia"/>
          <w:color w:val="FF0000"/>
          <w:sz w:val="28"/>
          <w:szCs w:val="28"/>
        </w:rPr>
        <w:t>市</w:t>
      </w:r>
      <w:r w:rsidR="00414BA4" w:rsidRPr="00B524C4">
        <w:rPr>
          <w:rFonts w:ascii="Times New Roman" w:eastAsia="標楷體" w:hAnsi="Times New Roman" w:hint="eastAsia"/>
          <w:color w:val="FF0000"/>
          <w:sz w:val="28"/>
          <w:szCs w:val="28"/>
        </w:rPr>
        <w:t>)</w:t>
      </w:r>
      <w:r w:rsidR="00414BA4" w:rsidRPr="00B524C4">
        <w:rPr>
          <w:rFonts w:ascii="Times New Roman" w:eastAsia="標楷體" w:hAnsi="Times New Roman" w:hint="eastAsia"/>
          <w:color w:val="FF0000"/>
          <w:sz w:val="28"/>
          <w:szCs w:val="28"/>
        </w:rPr>
        <w:t>主管機關處理</w:t>
      </w:r>
      <w:r w:rsidR="001E202F" w:rsidRPr="00B524C4">
        <w:rPr>
          <w:rFonts w:ascii="Times New Roman" w:eastAsia="標楷體" w:hAnsi="Times New Roman" w:hint="eastAsia"/>
          <w:color w:val="FF0000"/>
          <w:sz w:val="28"/>
          <w:szCs w:val="28"/>
        </w:rPr>
        <w:t>之規定</w:t>
      </w:r>
      <w:r w:rsidR="00895388" w:rsidRPr="00B524C4">
        <w:rPr>
          <w:rFonts w:ascii="Times New Roman" w:eastAsia="標楷體" w:hAnsi="Times New Roman" w:cs="Arial" w:hint="eastAsia"/>
          <w:color w:val="FF0000"/>
          <w:kern w:val="0"/>
          <w:sz w:val="28"/>
          <w:szCs w:val="28"/>
        </w:rPr>
        <w:t>。</w:t>
      </w:r>
      <w:r w:rsidR="00F907D6" w:rsidRPr="00B524C4">
        <w:rPr>
          <w:rFonts w:ascii="Times New Roman" w:eastAsia="標楷體" w:hAnsi="Times New Roman" w:hint="eastAsia"/>
          <w:bCs/>
          <w:color w:val="FF0000"/>
          <w:sz w:val="28"/>
          <w:szCs w:val="28"/>
        </w:rPr>
        <w:t>（修正條文第</w:t>
      </w:r>
      <w:r w:rsidR="00966A3A" w:rsidRPr="00B524C4">
        <w:rPr>
          <w:rFonts w:ascii="Times New Roman" w:eastAsia="標楷體" w:hAnsi="Times New Roman" w:hint="eastAsia"/>
          <w:bCs/>
          <w:color w:val="FF0000"/>
          <w:sz w:val="28"/>
          <w:szCs w:val="28"/>
        </w:rPr>
        <w:t>八</w:t>
      </w:r>
      <w:r w:rsidR="007B6998" w:rsidRPr="00B524C4">
        <w:rPr>
          <w:rFonts w:ascii="Times New Roman" w:eastAsia="標楷體" w:hAnsi="Times New Roman" w:hint="eastAsia"/>
          <w:bCs/>
          <w:color w:val="FF0000"/>
          <w:sz w:val="28"/>
          <w:szCs w:val="28"/>
        </w:rPr>
        <w:t>條</w:t>
      </w:r>
      <w:r w:rsidR="00F907D6" w:rsidRPr="00B524C4">
        <w:rPr>
          <w:rFonts w:ascii="Times New Roman" w:eastAsia="標楷體" w:hAnsi="Times New Roman" w:hint="eastAsia"/>
          <w:bCs/>
          <w:color w:val="FF0000"/>
          <w:sz w:val="28"/>
          <w:szCs w:val="28"/>
        </w:rPr>
        <w:t>）</w:t>
      </w:r>
    </w:p>
    <w:p w:rsidR="00D84092" w:rsidRPr="00B524C4" w:rsidRDefault="00895388" w:rsidP="00D84092">
      <w:pPr>
        <w:numPr>
          <w:ilvl w:val="0"/>
          <w:numId w:val="2"/>
        </w:numPr>
        <w:spacing w:line="460" w:lineRule="exact"/>
        <w:jc w:val="both"/>
        <w:rPr>
          <w:rFonts w:ascii="Times New Roman" w:eastAsia="標楷體" w:hAnsi="Times New Roman" w:cs="Arial" w:hint="eastAsia"/>
          <w:sz w:val="28"/>
          <w:szCs w:val="28"/>
        </w:rPr>
      </w:pPr>
      <w:r w:rsidRPr="00B524C4">
        <w:rPr>
          <w:rFonts w:ascii="Times New Roman" w:eastAsia="標楷體" w:hAnsi="Times New Roman" w:cs="Arial" w:hint="eastAsia"/>
          <w:sz w:val="28"/>
          <w:szCs w:val="28"/>
        </w:rPr>
        <w:t>增列</w:t>
      </w:r>
      <w:r w:rsidR="00D84092" w:rsidRPr="00B524C4">
        <w:rPr>
          <w:rFonts w:ascii="Times New Roman" w:eastAsia="標楷體" w:hAnsi="Times New Roman" w:cs="Arial" w:hint="eastAsia"/>
          <w:sz w:val="28"/>
          <w:szCs w:val="28"/>
        </w:rPr>
        <w:t>被害人</w:t>
      </w:r>
      <w:r w:rsidRPr="00B524C4">
        <w:rPr>
          <w:rFonts w:ascii="Times New Roman" w:eastAsia="標楷體" w:hAnsi="Times New Roman" w:cs="Arial"/>
          <w:kern w:val="0"/>
          <w:sz w:val="28"/>
          <w:szCs w:val="28"/>
        </w:rPr>
        <w:t>個案資料</w:t>
      </w:r>
      <w:r w:rsidRPr="00B524C4">
        <w:rPr>
          <w:rFonts w:ascii="Times New Roman" w:eastAsia="標楷體" w:hAnsi="Times New Roman" w:cs="Arial" w:hint="eastAsia"/>
          <w:kern w:val="0"/>
          <w:sz w:val="28"/>
          <w:szCs w:val="28"/>
        </w:rPr>
        <w:t>，</w:t>
      </w:r>
      <w:r w:rsidRPr="00B524C4">
        <w:rPr>
          <w:rFonts w:ascii="Times New Roman" w:eastAsia="標楷體" w:hAnsi="Times New Roman" w:cs="Arial"/>
          <w:kern w:val="0"/>
          <w:sz w:val="28"/>
          <w:szCs w:val="28"/>
        </w:rPr>
        <w:t>應</w:t>
      </w:r>
      <w:r w:rsidR="00D84092" w:rsidRPr="00B524C4">
        <w:rPr>
          <w:rFonts w:ascii="Times New Roman" w:eastAsia="標楷體" w:hAnsi="Times New Roman" w:cs="Arial" w:hint="eastAsia"/>
          <w:kern w:val="0"/>
          <w:sz w:val="28"/>
          <w:szCs w:val="28"/>
        </w:rPr>
        <w:t>於</w:t>
      </w:r>
      <w:r w:rsidRPr="00B524C4">
        <w:rPr>
          <w:rFonts w:ascii="Times New Roman" w:eastAsia="標楷體" w:hAnsi="Times New Roman" w:cs="Arial"/>
          <w:kern w:val="0"/>
          <w:sz w:val="28"/>
          <w:szCs w:val="28"/>
        </w:rPr>
        <w:t>結案後保存</w:t>
      </w:r>
      <w:r w:rsidR="00BB70F6" w:rsidRPr="00B524C4">
        <w:rPr>
          <w:rFonts w:ascii="Times New Roman" w:eastAsia="標楷體" w:hAnsi="Times New Roman" w:cs="Arial" w:hint="eastAsia"/>
          <w:color w:val="FF0000"/>
          <w:kern w:val="0"/>
          <w:sz w:val="28"/>
          <w:szCs w:val="28"/>
        </w:rPr>
        <w:t>七</w:t>
      </w:r>
      <w:r w:rsidRPr="00B524C4">
        <w:rPr>
          <w:rFonts w:ascii="Times New Roman" w:eastAsia="標楷體" w:hAnsi="Times New Roman" w:cs="Arial"/>
          <w:kern w:val="0"/>
          <w:sz w:val="28"/>
          <w:szCs w:val="28"/>
        </w:rPr>
        <w:t>年</w:t>
      </w:r>
      <w:r w:rsidR="00447340" w:rsidRPr="00B524C4">
        <w:rPr>
          <w:rFonts w:ascii="Times New Roman" w:eastAsia="標楷體" w:hAnsi="Times New Roman" w:cs="Arial" w:hint="eastAsia"/>
          <w:kern w:val="0"/>
          <w:sz w:val="28"/>
          <w:szCs w:val="28"/>
        </w:rPr>
        <w:t>之規定</w:t>
      </w:r>
      <w:r w:rsidR="0011336C" w:rsidRPr="00B524C4">
        <w:rPr>
          <w:rFonts w:ascii="Times New Roman" w:eastAsia="標楷體" w:hAnsi="Times New Roman" w:hint="eastAsia"/>
          <w:bCs/>
          <w:sz w:val="28"/>
          <w:szCs w:val="28"/>
        </w:rPr>
        <w:t>（修正條文</w:t>
      </w:r>
      <w:r w:rsidR="00290F83" w:rsidRPr="00B524C4">
        <w:rPr>
          <w:rFonts w:ascii="Times New Roman" w:eastAsia="標楷體" w:hAnsi="Times New Roman" w:hint="eastAsia"/>
          <w:bCs/>
          <w:sz w:val="28"/>
          <w:szCs w:val="28"/>
        </w:rPr>
        <w:t>第</w:t>
      </w:r>
      <w:r w:rsidR="00966A3A" w:rsidRPr="00B524C4">
        <w:rPr>
          <w:rFonts w:ascii="Times New Roman" w:eastAsia="標楷體" w:hAnsi="Times New Roman" w:hint="eastAsia"/>
          <w:bCs/>
          <w:sz w:val="28"/>
          <w:szCs w:val="28"/>
        </w:rPr>
        <w:t>十</w:t>
      </w:r>
      <w:r w:rsidR="004264C3" w:rsidRPr="00B524C4">
        <w:rPr>
          <w:rFonts w:ascii="Times New Roman" w:eastAsia="標楷體" w:hAnsi="Times New Roman" w:hint="eastAsia"/>
          <w:bCs/>
          <w:sz w:val="28"/>
          <w:szCs w:val="28"/>
        </w:rPr>
        <w:t>三</w:t>
      </w:r>
      <w:r w:rsidR="00290F83" w:rsidRPr="00B524C4">
        <w:rPr>
          <w:rFonts w:ascii="Times New Roman" w:eastAsia="標楷體" w:hAnsi="Times New Roman" w:hint="eastAsia"/>
          <w:bCs/>
          <w:sz w:val="28"/>
          <w:szCs w:val="28"/>
        </w:rPr>
        <w:t>條</w:t>
      </w:r>
      <w:r w:rsidR="0011336C" w:rsidRPr="00B524C4">
        <w:rPr>
          <w:rFonts w:ascii="Times New Roman" w:eastAsia="標楷體" w:hAnsi="Times New Roman" w:hint="eastAsia"/>
          <w:bCs/>
          <w:sz w:val="28"/>
          <w:szCs w:val="28"/>
        </w:rPr>
        <w:t>）</w:t>
      </w:r>
      <w:r w:rsidRPr="00B524C4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AF4108" w:rsidRPr="00B524C4" w:rsidRDefault="00BE0779" w:rsidP="00AF4108">
      <w:pPr>
        <w:numPr>
          <w:ilvl w:val="0"/>
          <w:numId w:val="2"/>
        </w:numPr>
        <w:spacing w:line="460" w:lineRule="exact"/>
        <w:jc w:val="both"/>
        <w:rPr>
          <w:rFonts w:ascii="Times New Roman" w:eastAsia="標楷體" w:hAnsi="Times New Roman" w:cs="Arial" w:hint="eastAsia"/>
          <w:sz w:val="28"/>
          <w:szCs w:val="28"/>
        </w:rPr>
      </w:pPr>
      <w:r w:rsidRPr="00B524C4">
        <w:rPr>
          <w:rFonts w:ascii="Times New Roman" w:eastAsia="標楷體" w:hAnsi="Times New Roman" w:hint="eastAsia"/>
          <w:bCs/>
          <w:sz w:val="28"/>
          <w:szCs w:val="28"/>
        </w:rPr>
        <w:t>增訂</w:t>
      </w:r>
      <w:r w:rsidR="004264C3" w:rsidRPr="00B524C4">
        <w:rPr>
          <w:rFonts w:ascii="Times New Roman" w:eastAsia="標楷體" w:hAnsi="Times New Roman" w:hint="eastAsia"/>
          <w:bCs/>
          <w:sz w:val="28"/>
          <w:szCs w:val="28"/>
        </w:rPr>
        <w:t>本條例第十六條</w:t>
      </w:r>
      <w:r w:rsidR="003C2C8A" w:rsidRPr="00B524C4">
        <w:rPr>
          <w:rFonts w:ascii="Times New Roman" w:eastAsia="標楷體" w:hAnsi="Times New Roman" w:hint="eastAsia"/>
          <w:bCs/>
          <w:sz w:val="28"/>
          <w:szCs w:val="28"/>
        </w:rPr>
        <w:t>第二項</w:t>
      </w:r>
      <w:r w:rsidR="000D679D" w:rsidRPr="00B524C4">
        <w:rPr>
          <w:rFonts w:ascii="Times New Roman" w:eastAsia="標楷體" w:hAnsi="Times New Roman" w:hint="eastAsia"/>
          <w:bCs/>
          <w:sz w:val="28"/>
          <w:szCs w:val="28"/>
        </w:rPr>
        <w:t>法院裁定繼續安置</w:t>
      </w:r>
      <w:r w:rsidR="004264C3" w:rsidRPr="00B524C4">
        <w:rPr>
          <w:rFonts w:ascii="Times New Roman" w:eastAsia="標楷體" w:hAnsi="Times New Roman" w:hint="eastAsia"/>
          <w:bCs/>
          <w:sz w:val="28"/>
          <w:szCs w:val="28"/>
        </w:rPr>
        <w:t>、第十八條</w:t>
      </w:r>
      <w:r w:rsidR="003E16F9" w:rsidRPr="00B524C4">
        <w:rPr>
          <w:rFonts w:ascii="Times New Roman" w:eastAsia="標楷體" w:hAnsi="Times New Roman" w:hint="eastAsia"/>
          <w:bCs/>
          <w:sz w:val="28"/>
          <w:szCs w:val="28"/>
        </w:rPr>
        <w:t>第一項</w:t>
      </w:r>
      <w:r w:rsidR="004F15E2" w:rsidRPr="00B524C4">
        <w:rPr>
          <w:rFonts w:ascii="Times New Roman" w:eastAsia="標楷體" w:hAnsi="Times New Roman" w:hint="eastAsia"/>
          <w:bCs/>
          <w:sz w:val="28"/>
          <w:szCs w:val="28"/>
        </w:rPr>
        <w:t>提出審前報告期限之</w:t>
      </w:r>
      <w:r w:rsidR="004116E3" w:rsidRPr="00B524C4">
        <w:rPr>
          <w:rFonts w:ascii="Times New Roman" w:eastAsia="標楷體" w:hAnsi="Times New Roman" w:hint="eastAsia"/>
          <w:bCs/>
          <w:sz w:val="28"/>
          <w:szCs w:val="28"/>
        </w:rPr>
        <w:t>起算日</w:t>
      </w:r>
      <w:r w:rsidR="00447340" w:rsidRPr="00B524C4">
        <w:rPr>
          <w:rFonts w:ascii="Times New Roman" w:eastAsia="標楷體" w:hAnsi="Times New Roman" w:hint="eastAsia"/>
          <w:bCs/>
          <w:sz w:val="28"/>
          <w:szCs w:val="28"/>
        </w:rPr>
        <w:t>，以資明確</w:t>
      </w:r>
      <w:r w:rsidR="00895388" w:rsidRPr="00B524C4">
        <w:rPr>
          <w:rFonts w:ascii="Times New Roman" w:eastAsia="標楷體" w:hAnsi="Times New Roman" w:hint="eastAsia"/>
          <w:sz w:val="28"/>
          <w:szCs w:val="28"/>
        </w:rPr>
        <w:t>。</w:t>
      </w:r>
      <w:r w:rsidR="004264C3" w:rsidRPr="00B524C4">
        <w:rPr>
          <w:rFonts w:ascii="Times New Roman" w:eastAsia="標楷體" w:hAnsi="Times New Roman" w:hint="eastAsia"/>
          <w:bCs/>
          <w:sz w:val="28"/>
          <w:szCs w:val="28"/>
        </w:rPr>
        <w:t>（修正條文第十五條）</w:t>
      </w:r>
    </w:p>
    <w:p w:rsidR="004264C3" w:rsidRPr="00B524C4" w:rsidRDefault="00AF4108" w:rsidP="00AF4108">
      <w:pPr>
        <w:numPr>
          <w:ilvl w:val="0"/>
          <w:numId w:val="2"/>
        </w:numPr>
        <w:spacing w:line="460" w:lineRule="exact"/>
        <w:jc w:val="both"/>
        <w:rPr>
          <w:rFonts w:ascii="Times New Roman" w:eastAsia="標楷體" w:hAnsi="Times New Roman" w:cs="Arial" w:hint="eastAsia"/>
          <w:sz w:val="28"/>
          <w:szCs w:val="28"/>
        </w:rPr>
      </w:pPr>
      <w:r w:rsidRPr="00B524C4">
        <w:rPr>
          <w:rFonts w:ascii="Times New Roman" w:eastAsia="標楷體" w:hAnsi="Times New Roman" w:hint="eastAsia"/>
          <w:bCs/>
          <w:sz w:val="28"/>
          <w:szCs w:val="28"/>
        </w:rPr>
        <w:t>有關被害人</w:t>
      </w:r>
      <w:r w:rsidR="005C22A3" w:rsidRPr="00B524C4">
        <w:rPr>
          <w:rFonts w:ascii="Times New Roman" w:eastAsia="標楷體" w:hAnsi="Times New Roman" w:hint="eastAsia"/>
          <w:bCs/>
          <w:sz w:val="28"/>
          <w:szCs w:val="28"/>
        </w:rPr>
        <w:t>於安置</w:t>
      </w:r>
      <w:proofErr w:type="gramStart"/>
      <w:r w:rsidR="005C22A3" w:rsidRPr="00B524C4">
        <w:rPr>
          <w:rFonts w:ascii="Times New Roman" w:eastAsia="標楷體" w:hAnsi="Times New Roman" w:hint="eastAsia"/>
          <w:bCs/>
          <w:sz w:val="28"/>
          <w:szCs w:val="28"/>
        </w:rPr>
        <w:t>期間逾</w:t>
      </w:r>
      <w:proofErr w:type="gramEnd"/>
      <w:r w:rsidR="005C22A3" w:rsidRPr="00B524C4">
        <w:rPr>
          <w:rFonts w:ascii="Times New Roman" w:eastAsia="標楷體" w:hAnsi="Times New Roman" w:hint="eastAsia"/>
          <w:bCs/>
          <w:sz w:val="28"/>
          <w:szCs w:val="28"/>
        </w:rPr>
        <w:t>假</w:t>
      </w:r>
      <w:proofErr w:type="gramStart"/>
      <w:r w:rsidRPr="00B524C4">
        <w:rPr>
          <w:rFonts w:ascii="Times New Roman" w:eastAsia="標楷體" w:hAnsi="Times New Roman" w:hint="eastAsia"/>
          <w:bCs/>
          <w:sz w:val="28"/>
          <w:szCs w:val="28"/>
        </w:rPr>
        <w:t>未歸</w:t>
      </w:r>
      <w:r w:rsidR="005C22A3" w:rsidRPr="00B524C4">
        <w:rPr>
          <w:rFonts w:ascii="Times New Roman" w:eastAsia="標楷體" w:hAnsi="Times New Roman" w:hint="eastAsia"/>
          <w:bCs/>
          <w:sz w:val="28"/>
          <w:szCs w:val="28"/>
        </w:rPr>
        <w:t>或未</w:t>
      </w:r>
      <w:proofErr w:type="gramEnd"/>
      <w:r w:rsidR="005C22A3" w:rsidRPr="00B524C4">
        <w:rPr>
          <w:rFonts w:ascii="Times New Roman" w:eastAsia="標楷體" w:hAnsi="Times New Roman" w:hint="eastAsia"/>
          <w:bCs/>
          <w:sz w:val="28"/>
          <w:szCs w:val="28"/>
        </w:rPr>
        <w:t>假離開，</w:t>
      </w:r>
      <w:r w:rsidR="001A4328" w:rsidRPr="00B524C4">
        <w:rPr>
          <w:rFonts w:ascii="Times New Roman" w:eastAsia="標楷體" w:hAnsi="Times New Roman" w:hint="eastAsia"/>
          <w:bCs/>
          <w:sz w:val="28"/>
          <w:szCs w:val="28"/>
        </w:rPr>
        <w:t>直轄市、縣（市）主管機關</w:t>
      </w:r>
      <w:r w:rsidR="00D90142" w:rsidRPr="00B524C4">
        <w:rPr>
          <w:rFonts w:ascii="Times New Roman" w:eastAsia="標楷體" w:hAnsi="Times New Roman" w:hint="eastAsia"/>
          <w:bCs/>
          <w:sz w:val="28"/>
          <w:szCs w:val="28"/>
        </w:rPr>
        <w:t>於</w:t>
      </w:r>
      <w:r w:rsidR="002E2FFF" w:rsidRPr="00B524C4">
        <w:rPr>
          <w:rFonts w:ascii="Times New Roman" w:eastAsia="標楷體" w:hAnsi="Times New Roman" w:hint="eastAsia"/>
          <w:bCs/>
          <w:sz w:val="28"/>
          <w:szCs w:val="28"/>
        </w:rPr>
        <w:t>協尋及尋獲個案時應辦事項</w:t>
      </w:r>
      <w:r w:rsidR="004264C3" w:rsidRPr="00B524C4">
        <w:rPr>
          <w:rFonts w:ascii="Times New Roman" w:eastAsia="標楷體" w:hAnsi="Times New Roman" w:cs="Arial" w:hint="eastAsia"/>
          <w:kern w:val="0"/>
          <w:sz w:val="28"/>
          <w:szCs w:val="28"/>
        </w:rPr>
        <w:t>。</w:t>
      </w:r>
      <w:r w:rsidR="004264C3" w:rsidRPr="00B524C4">
        <w:rPr>
          <w:rFonts w:ascii="Times New Roman" w:eastAsia="標楷體" w:hAnsi="Times New Roman" w:hint="eastAsia"/>
          <w:bCs/>
          <w:sz w:val="28"/>
          <w:szCs w:val="28"/>
        </w:rPr>
        <w:t>（修正條文第十七條）</w:t>
      </w:r>
    </w:p>
    <w:p w:rsidR="00B25E54" w:rsidRPr="00B524C4" w:rsidRDefault="0055420C" w:rsidP="00B25E54">
      <w:pPr>
        <w:numPr>
          <w:ilvl w:val="0"/>
          <w:numId w:val="2"/>
        </w:numPr>
        <w:spacing w:line="460" w:lineRule="exact"/>
        <w:jc w:val="both"/>
        <w:rPr>
          <w:rFonts w:ascii="Times New Roman" w:eastAsia="標楷體" w:hAnsi="Times New Roman" w:cs="Arial" w:hint="eastAsia"/>
          <w:sz w:val="28"/>
          <w:szCs w:val="28"/>
        </w:rPr>
      </w:pPr>
      <w:r w:rsidRPr="00B524C4">
        <w:rPr>
          <w:rFonts w:ascii="Times New Roman" w:eastAsia="標楷體" w:hAnsi="Times New Roman" w:cs="Arial"/>
          <w:sz w:val="28"/>
          <w:szCs w:val="28"/>
        </w:rPr>
        <w:t>本條例第</w:t>
      </w:r>
      <w:r w:rsidRPr="00B524C4">
        <w:rPr>
          <w:rFonts w:ascii="Times New Roman" w:eastAsia="標楷體" w:hAnsi="Times New Roman" w:cs="Arial" w:hint="eastAsia"/>
          <w:sz w:val="28"/>
          <w:szCs w:val="28"/>
        </w:rPr>
        <w:t>三十八條</w:t>
      </w:r>
      <w:r w:rsidRPr="00B524C4">
        <w:rPr>
          <w:rFonts w:ascii="Times New Roman" w:eastAsia="標楷體" w:hAnsi="Times New Roman" w:cs="Arial"/>
          <w:sz w:val="28"/>
          <w:szCs w:val="28"/>
        </w:rPr>
        <w:t>所</w:t>
      </w:r>
      <w:r w:rsidR="00EB5656" w:rsidRPr="00B524C4">
        <w:rPr>
          <w:rFonts w:ascii="Times New Roman" w:eastAsia="標楷體" w:hAnsi="Times New Roman" w:cs="Arial" w:hint="eastAsia"/>
          <w:sz w:val="28"/>
          <w:szCs w:val="28"/>
        </w:rPr>
        <w:t>指</w:t>
      </w:r>
      <w:r w:rsidRPr="00B524C4">
        <w:rPr>
          <w:rFonts w:ascii="Times New Roman" w:eastAsia="標楷體" w:hAnsi="Times New Roman" w:cs="Arial"/>
          <w:sz w:val="28"/>
          <w:szCs w:val="28"/>
        </w:rPr>
        <w:t>電子訊號</w:t>
      </w:r>
      <w:r w:rsidR="00D81A23" w:rsidRPr="00B524C4">
        <w:rPr>
          <w:rFonts w:ascii="Times New Roman" w:eastAsia="標楷體" w:hAnsi="Times New Roman" w:cs="Arial" w:hint="eastAsia"/>
          <w:sz w:val="28"/>
          <w:szCs w:val="28"/>
        </w:rPr>
        <w:t>之</w:t>
      </w:r>
      <w:r w:rsidRPr="00B524C4">
        <w:rPr>
          <w:rFonts w:ascii="Times New Roman" w:eastAsia="標楷體" w:hAnsi="Times New Roman" w:cs="Arial" w:hint="eastAsia"/>
          <w:sz w:val="28"/>
          <w:szCs w:val="28"/>
        </w:rPr>
        <w:t>範圍</w:t>
      </w:r>
      <w:r w:rsidRPr="00B524C4">
        <w:rPr>
          <w:rFonts w:ascii="Times New Roman" w:eastAsia="標楷體" w:hAnsi="Times New Roman" w:cs="Arial"/>
          <w:sz w:val="28"/>
          <w:szCs w:val="28"/>
        </w:rPr>
        <w:t>。</w:t>
      </w:r>
      <w:r w:rsidR="003836CA" w:rsidRPr="00B524C4">
        <w:rPr>
          <w:rFonts w:ascii="Times New Roman" w:eastAsia="標楷體" w:hAnsi="Times New Roman" w:hint="eastAsia"/>
          <w:bCs/>
          <w:sz w:val="28"/>
          <w:szCs w:val="28"/>
        </w:rPr>
        <w:t>（修正條文第</w:t>
      </w:r>
      <w:r w:rsidRPr="00B524C4">
        <w:rPr>
          <w:rFonts w:ascii="Times New Roman" w:eastAsia="標楷體" w:hAnsi="Times New Roman" w:hint="eastAsia"/>
          <w:bCs/>
          <w:sz w:val="28"/>
          <w:szCs w:val="28"/>
        </w:rPr>
        <w:t>二</w:t>
      </w:r>
      <w:r w:rsidR="00847D9C" w:rsidRPr="00B524C4">
        <w:rPr>
          <w:rFonts w:ascii="Times New Roman" w:eastAsia="標楷體" w:hAnsi="Times New Roman" w:hint="eastAsia"/>
          <w:bCs/>
          <w:sz w:val="28"/>
          <w:szCs w:val="28"/>
        </w:rPr>
        <w:t>十</w:t>
      </w:r>
      <w:r w:rsidR="003836CA" w:rsidRPr="00B524C4">
        <w:rPr>
          <w:rFonts w:ascii="Times New Roman" w:eastAsia="標楷體" w:hAnsi="Times New Roman" w:hint="eastAsia"/>
          <w:bCs/>
          <w:sz w:val="28"/>
          <w:szCs w:val="28"/>
        </w:rPr>
        <w:t>條）</w:t>
      </w:r>
    </w:p>
    <w:p w:rsidR="0055420C" w:rsidRPr="00B524C4" w:rsidRDefault="0055420C" w:rsidP="00362796">
      <w:pPr>
        <w:numPr>
          <w:ilvl w:val="0"/>
          <w:numId w:val="2"/>
        </w:numPr>
        <w:spacing w:line="460" w:lineRule="exact"/>
        <w:jc w:val="both"/>
        <w:rPr>
          <w:rFonts w:ascii="Times New Roman" w:eastAsia="標楷體" w:hAnsi="Times New Roman" w:cs="Arial" w:hint="eastAsia"/>
          <w:sz w:val="28"/>
          <w:szCs w:val="28"/>
        </w:rPr>
      </w:pPr>
      <w:r w:rsidRPr="00B524C4">
        <w:rPr>
          <w:rFonts w:ascii="Times New Roman" w:eastAsia="標楷體" w:hAnsi="Times New Roman" w:cs="Arial" w:hint="eastAsia"/>
          <w:kern w:val="0"/>
          <w:sz w:val="28"/>
          <w:szCs w:val="28"/>
        </w:rPr>
        <w:t>本條例</w:t>
      </w:r>
      <w:r w:rsidRPr="00B524C4">
        <w:rPr>
          <w:rFonts w:ascii="Times New Roman" w:eastAsia="標楷體" w:hAnsi="Times New Roman" w:cs="Arial"/>
          <w:kern w:val="0"/>
          <w:sz w:val="28"/>
          <w:szCs w:val="28"/>
        </w:rPr>
        <w:t>第四十四條及第四十五條</w:t>
      </w:r>
      <w:r w:rsidRPr="00B524C4">
        <w:rPr>
          <w:rFonts w:ascii="Times New Roman" w:eastAsia="標楷體" w:hAnsi="Times New Roman" w:cs="Arial" w:hint="eastAsia"/>
          <w:kern w:val="0"/>
          <w:sz w:val="28"/>
          <w:szCs w:val="28"/>
        </w:rPr>
        <w:t>之</w:t>
      </w:r>
      <w:r w:rsidRPr="00B524C4">
        <w:rPr>
          <w:rFonts w:ascii="Times New Roman" w:eastAsia="標楷體" w:hAnsi="Times New Roman" w:cs="Arial"/>
          <w:kern w:val="0"/>
          <w:sz w:val="28"/>
          <w:szCs w:val="28"/>
        </w:rPr>
        <w:t>裁罰機關，為查獲地直轄市、縣（市）主管機關。</w:t>
      </w:r>
      <w:r w:rsidR="00ED6562" w:rsidRPr="00B524C4">
        <w:rPr>
          <w:rFonts w:ascii="Times New Roman" w:eastAsia="標楷體" w:hAnsi="Times New Roman" w:hint="eastAsia"/>
          <w:bCs/>
          <w:sz w:val="28"/>
          <w:szCs w:val="28"/>
        </w:rPr>
        <w:t>（修正條文第</w:t>
      </w:r>
      <w:r w:rsidRPr="00B524C4">
        <w:rPr>
          <w:rFonts w:ascii="Times New Roman" w:eastAsia="標楷體" w:hAnsi="Times New Roman" w:hint="eastAsia"/>
          <w:bCs/>
          <w:sz w:val="28"/>
          <w:szCs w:val="28"/>
        </w:rPr>
        <w:t>二十一</w:t>
      </w:r>
      <w:r w:rsidR="00ED6562" w:rsidRPr="00B524C4">
        <w:rPr>
          <w:rFonts w:ascii="Times New Roman" w:eastAsia="標楷體" w:hAnsi="Times New Roman" w:hint="eastAsia"/>
          <w:bCs/>
          <w:sz w:val="28"/>
          <w:szCs w:val="28"/>
        </w:rPr>
        <w:t>條）</w:t>
      </w:r>
    </w:p>
    <w:sectPr w:rsidR="0055420C" w:rsidRPr="00B524C4" w:rsidSect="0065475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0D" w:rsidRDefault="00D8730D" w:rsidP="005F4CC0">
      <w:r>
        <w:separator/>
      </w:r>
    </w:p>
  </w:endnote>
  <w:endnote w:type="continuationSeparator" w:id="0">
    <w:p w:rsidR="00D8730D" w:rsidRDefault="00D8730D" w:rsidP="005F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A5" w:rsidRDefault="00790BA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F70" w:rsidRPr="00C43F70">
      <w:rPr>
        <w:noProof/>
        <w:lang w:val="zh-TW"/>
      </w:rPr>
      <w:t>1</w:t>
    </w:r>
    <w:r>
      <w:fldChar w:fldCharType="end"/>
    </w:r>
    <w:r w:rsidR="00283469">
      <w:rPr>
        <w:rFonts w:hint="eastAsia"/>
        <w:lang w:eastAsia="zh-TW"/>
      </w:rPr>
      <w:t>-1</w:t>
    </w:r>
  </w:p>
  <w:p w:rsidR="00790BA5" w:rsidRDefault="00790B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0D" w:rsidRDefault="00D8730D" w:rsidP="005F4CC0">
      <w:r>
        <w:separator/>
      </w:r>
    </w:p>
  </w:footnote>
  <w:footnote w:type="continuationSeparator" w:id="0">
    <w:p w:rsidR="00D8730D" w:rsidRDefault="00D8730D" w:rsidP="005F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348"/>
    <w:multiLevelType w:val="hybridMultilevel"/>
    <w:tmpl w:val="CD56EAFA"/>
    <w:lvl w:ilvl="0" w:tplc="160AC02C">
      <w:start w:val="1"/>
      <w:numFmt w:val="taiwaneseCountingThousand"/>
      <w:lvlText w:val="%1、"/>
      <w:lvlJc w:val="left"/>
      <w:pPr>
        <w:ind w:left="720" w:hanging="720"/>
      </w:pPr>
      <w:rPr>
        <w:rFonts w:cs="Bodoni 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6734A2"/>
    <w:multiLevelType w:val="hybridMultilevel"/>
    <w:tmpl w:val="0BCC1678"/>
    <w:lvl w:ilvl="0" w:tplc="3F02A2E2">
      <w:start w:val="1"/>
      <w:numFmt w:val="taiwaneseCountingThousand"/>
      <w:lvlText w:val="%1、"/>
      <w:lvlJc w:val="left"/>
      <w:pPr>
        <w:ind w:left="104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8B"/>
    <w:rsid w:val="00004797"/>
    <w:rsid w:val="00043A9D"/>
    <w:rsid w:val="00075DDA"/>
    <w:rsid w:val="00081F13"/>
    <w:rsid w:val="000841C7"/>
    <w:rsid w:val="000A1E20"/>
    <w:rsid w:val="000C7D8A"/>
    <w:rsid w:val="000D647D"/>
    <w:rsid w:val="000D679D"/>
    <w:rsid w:val="0011336C"/>
    <w:rsid w:val="00122D6B"/>
    <w:rsid w:val="0013751B"/>
    <w:rsid w:val="00141FB1"/>
    <w:rsid w:val="00142812"/>
    <w:rsid w:val="001744E2"/>
    <w:rsid w:val="00176B2C"/>
    <w:rsid w:val="001A4328"/>
    <w:rsid w:val="001B4E19"/>
    <w:rsid w:val="001C18B5"/>
    <w:rsid w:val="001D5427"/>
    <w:rsid w:val="001D7937"/>
    <w:rsid w:val="001E202F"/>
    <w:rsid w:val="001F0B62"/>
    <w:rsid w:val="001F4E40"/>
    <w:rsid w:val="00214BF1"/>
    <w:rsid w:val="00223828"/>
    <w:rsid w:val="002613A9"/>
    <w:rsid w:val="00267BCA"/>
    <w:rsid w:val="00281D00"/>
    <w:rsid w:val="00283469"/>
    <w:rsid w:val="00290383"/>
    <w:rsid w:val="00290F83"/>
    <w:rsid w:val="002A06FB"/>
    <w:rsid w:val="002A5F54"/>
    <w:rsid w:val="002A7400"/>
    <w:rsid w:val="002D783F"/>
    <w:rsid w:val="002E2FFF"/>
    <w:rsid w:val="00315C1E"/>
    <w:rsid w:val="003164AF"/>
    <w:rsid w:val="00317635"/>
    <w:rsid w:val="00317FD8"/>
    <w:rsid w:val="00362796"/>
    <w:rsid w:val="00363C4E"/>
    <w:rsid w:val="003836CA"/>
    <w:rsid w:val="003A1B63"/>
    <w:rsid w:val="003A52AB"/>
    <w:rsid w:val="003B54D9"/>
    <w:rsid w:val="003C0DD4"/>
    <w:rsid w:val="003C2C8A"/>
    <w:rsid w:val="003C3DD7"/>
    <w:rsid w:val="003D3FAF"/>
    <w:rsid w:val="003E16F9"/>
    <w:rsid w:val="004116E3"/>
    <w:rsid w:val="00414BA4"/>
    <w:rsid w:val="00416F7A"/>
    <w:rsid w:val="00417891"/>
    <w:rsid w:val="0042346A"/>
    <w:rsid w:val="004264C3"/>
    <w:rsid w:val="00430C35"/>
    <w:rsid w:val="00431C1A"/>
    <w:rsid w:val="004345DA"/>
    <w:rsid w:val="00437531"/>
    <w:rsid w:val="00447340"/>
    <w:rsid w:val="00454388"/>
    <w:rsid w:val="00470977"/>
    <w:rsid w:val="00473591"/>
    <w:rsid w:val="00474F8C"/>
    <w:rsid w:val="00497B8B"/>
    <w:rsid w:val="004A2B5D"/>
    <w:rsid w:val="004B2D51"/>
    <w:rsid w:val="004B563E"/>
    <w:rsid w:val="004B6783"/>
    <w:rsid w:val="004C6795"/>
    <w:rsid w:val="004D04D5"/>
    <w:rsid w:val="004F15E2"/>
    <w:rsid w:val="004F4BB4"/>
    <w:rsid w:val="00521066"/>
    <w:rsid w:val="0052188E"/>
    <w:rsid w:val="00537014"/>
    <w:rsid w:val="0055420C"/>
    <w:rsid w:val="00555717"/>
    <w:rsid w:val="0056290B"/>
    <w:rsid w:val="00566F73"/>
    <w:rsid w:val="00571C0C"/>
    <w:rsid w:val="00574EAF"/>
    <w:rsid w:val="00575DBA"/>
    <w:rsid w:val="00577224"/>
    <w:rsid w:val="00581BFE"/>
    <w:rsid w:val="005919A4"/>
    <w:rsid w:val="00595F66"/>
    <w:rsid w:val="005A027E"/>
    <w:rsid w:val="005A40A9"/>
    <w:rsid w:val="005C22A3"/>
    <w:rsid w:val="005D492D"/>
    <w:rsid w:val="005E1E46"/>
    <w:rsid w:val="005E39DB"/>
    <w:rsid w:val="005F4CC0"/>
    <w:rsid w:val="005F7E08"/>
    <w:rsid w:val="00605F09"/>
    <w:rsid w:val="006061E1"/>
    <w:rsid w:val="00641B50"/>
    <w:rsid w:val="00645420"/>
    <w:rsid w:val="00646B37"/>
    <w:rsid w:val="00654436"/>
    <w:rsid w:val="0065475D"/>
    <w:rsid w:val="00665D83"/>
    <w:rsid w:val="006666E9"/>
    <w:rsid w:val="0067441C"/>
    <w:rsid w:val="006843EA"/>
    <w:rsid w:val="00691C6F"/>
    <w:rsid w:val="00696A73"/>
    <w:rsid w:val="006A29B7"/>
    <w:rsid w:val="006A300F"/>
    <w:rsid w:val="006B3884"/>
    <w:rsid w:val="006C09EE"/>
    <w:rsid w:val="006C6BCE"/>
    <w:rsid w:val="006E1AC2"/>
    <w:rsid w:val="006F2B83"/>
    <w:rsid w:val="006F4A0D"/>
    <w:rsid w:val="006F75DA"/>
    <w:rsid w:val="007036DA"/>
    <w:rsid w:val="0072619B"/>
    <w:rsid w:val="007342BE"/>
    <w:rsid w:val="0073788D"/>
    <w:rsid w:val="00746577"/>
    <w:rsid w:val="0075223C"/>
    <w:rsid w:val="00755AD3"/>
    <w:rsid w:val="00757905"/>
    <w:rsid w:val="00761F0F"/>
    <w:rsid w:val="0077641C"/>
    <w:rsid w:val="00777E2F"/>
    <w:rsid w:val="00781AF7"/>
    <w:rsid w:val="00786CAC"/>
    <w:rsid w:val="00790BA5"/>
    <w:rsid w:val="007B2E2F"/>
    <w:rsid w:val="007B6998"/>
    <w:rsid w:val="007C38E8"/>
    <w:rsid w:val="007C7DBF"/>
    <w:rsid w:val="007D1146"/>
    <w:rsid w:val="007D15CC"/>
    <w:rsid w:val="007D798A"/>
    <w:rsid w:val="007E24AB"/>
    <w:rsid w:val="007F4C09"/>
    <w:rsid w:val="00800EAC"/>
    <w:rsid w:val="00803147"/>
    <w:rsid w:val="008037F0"/>
    <w:rsid w:val="00847087"/>
    <w:rsid w:val="008477AA"/>
    <w:rsid w:val="00847D9C"/>
    <w:rsid w:val="00894BA9"/>
    <w:rsid w:val="00895388"/>
    <w:rsid w:val="00895DAB"/>
    <w:rsid w:val="008B6643"/>
    <w:rsid w:val="008C00BD"/>
    <w:rsid w:val="008E1033"/>
    <w:rsid w:val="008E3744"/>
    <w:rsid w:val="008F4E0D"/>
    <w:rsid w:val="0092089E"/>
    <w:rsid w:val="009450BC"/>
    <w:rsid w:val="00946A50"/>
    <w:rsid w:val="00950120"/>
    <w:rsid w:val="00966A3A"/>
    <w:rsid w:val="00982F38"/>
    <w:rsid w:val="009A21E3"/>
    <w:rsid w:val="009B0D8A"/>
    <w:rsid w:val="009B342B"/>
    <w:rsid w:val="009D7688"/>
    <w:rsid w:val="009D7C7E"/>
    <w:rsid w:val="009E4215"/>
    <w:rsid w:val="009E4B00"/>
    <w:rsid w:val="00A1299E"/>
    <w:rsid w:val="00A2024D"/>
    <w:rsid w:val="00A22C48"/>
    <w:rsid w:val="00A279BB"/>
    <w:rsid w:val="00A4331B"/>
    <w:rsid w:val="00A53DEC"/>
    <w:rsid w:val="00A6628A"/>
    <w:rsid w:val="00AA12D8"/>
    <w:rsid w:val="00AB3E07"/>
    <w:rsid w:val="00AB792A"/>
    <w:rsid w:val="00AC4BEC"/>
    <w:rsid w:val="00AD25D5"/>
    <w:rsid w:val="00AE42C9"/>
    <w:rsid w:val="00AE7A33"/>
    <w:rsid w:val="00AF0C3A"/>
    <w:rsid w:val="00AF4108"/>
    <w:rsid w:val="00B04EE6"/>
    <w:rsid w:val="00B122C7"/>
    <w:rsid w:val="00B228B7"/>
    <w:rsid w:val="00B25E54"/>
    <w:rsid w:val="00B3218F"/>
    <w:rsid w:val="00B413A5"/>
    <w:rsid w:val="00B47D5D"/>
    <w:rsid w:val="00B524C4"/>
    <w:rsid w:val="00B8535B"/>
    <w:rsid w:val="00B876A5"/>
    <w:rsid w:val="00B91FAA"/>
    <w:rsid w:val="00BA720E"/>
    <w:rsid w:val="00BB3C55"/>
    <w:rsid w:val="00BB4957"/>
    <w:rsid w:val="00BB70F6"/>
    <w:rsid w:val="00BC312E"/>
    <w:rsid w:val="00BE0779"/>
    <w:rsid w:val="00BE6C4F"/>
    <w:rsid w:val="00BF6F7A"/>
    <w:rsid w:val="00C13E1F"/>
    <w:rsid w:val="00C27BAE"/>
    <w:rsid w:val="00C30E34"/>
    <w:rsid w:val="00C40F17"/>
    <w:rsid w:val="00C43F70"/>
    <w:rsid w:val="00C506A5"/>
    <w:rsid w:val="00C5678B"/>
    <w:rsid w:val="00C6025A"/>
    <w:rsid w:val="00C71128"/>
    <w:rsid w:val="00C738C8"/>
    <w:rsid w:val="00C95230"/>
    <w:rsid w:val="00C9523D"/>
    <w:rsid w:val="00C9542E"/>
    <w:rsid w:val="00C979C3"/>
    <w:rsid w:val="00CA2B61"/>
    <w:rsid w:val="00CA67CF"/>
    <w:rsid w:val="00CC2E3E"/>
    <w:rsid w:val="00CD2BED"/>
    <w:rsid w:val="00D01AC1"/>
    <w:rsid w:val="00D02972"/>
    <w:rsid w:val="00D151FB"/>
    <w:rsid w:val="00D2089E"/>
    <w:rsid w:val="00D25978"/>
    <w:rsid w:val="00D259F3"/>
    <w:rsid w:val="00D378C3"/>
    <w:rsid w:val="00D37CBE"/>
    <w:rsid w:val="00D42DBC"/>
    <w:rsid w:val="00D47E27"/>
    <w:rsid w:val="00D56847"/>
    <w:rsid w:val="00D573AC"/>
    <w:rsid w:val="00D67346"/>
    <w:rsid w:val="00D72F8D"/>
    <w:rsid w:val="00D8098A"/>
    <w:rsid w:val="00D80EF8"/>
    <w:rsid w:val="00D81A23"/>
    <w:rsid w:val="00D83660"/>
    <w:rsid w:val="00D84092"/>
    <w:rsid w:val="00D8730D"/>
    <w:rsid w:val="00D90142"/>
    <w:rsid w:val="00D95D5E"/>
    <w:rsid w:val="00DA6A80"/>
    <w:rsid w:val="00DB1188"/>
    <w:rsid w:val="00DB3070"/>
    <w:rsid w:val="00DC111D"/>
    <w:rsid w:val="00DC1BAE"/>
    <w:rsid w:val="00DD1B07"/>
    <w:rsid w:val="00DD366D"/>
    <w:rsid w:val="00DE1D65"/>
    <w:rsid w:val="00DF4A3A"/>
    <w:rsid w:val="00DF7E57"/>
    <w:rsid w:val="00E10614"/>
    <w:rsid w:val="00E112C4"/>
    <w:rsid w:val="00E148B7"/>
    <w:rsid w:val="00E15C2D"/>
    <w:rsid w:val="00E23133"/>
    <w:rsid w:val="00E37E0D"/>
    <w:rsid w:val="00E54A71"/>
    <w:rsid w:val="00E54FB5"/>
    <w:rsid w:val="00E5615F"/>
    <w:rsid w:val="00E63DE7"/>
    <w:rsid w:val="00E94D45"/>
    <w:rsid w:val="00EB5656"/>
    <w:rsid w:val="00EC5FCC"/>
    <w:rsid w:val="00EC7CB4"/>
    <w:rsid w:val="00ED4719"/>
    <w:rsid w:val="00ED6562"/>
    <w:rsid w:val="00EE7916"/>
    <w:rsid w:val="00F11EF3"/>
    <w:rsid w:val="00F17397"/>
    <w:rsid w:val="00F23711"/>
    <w:rsid w:val="00F30BA9"/>
    <w:rsid w:val="00F31B7E"/>
    <w:rsid w:val="00F44BEF"/>
    <w:rsid w:val="00F4715A"/>
    <w:rsid w:val="00F517CC"/>
    <w:rsid w:val="00F61C5D"/>
    <w:rsid w:val="00F907D6"/>
    <w:rsid w:val="00F91C59"/>
    <w:rsid w:val="00F96E46"/>
    <w:rsid w:val="00FA2E02"/>
    <w:rsid w:val="00FA3FC6"/>
    <w:rsid w:val="00FB0BF8"/>
    <w:rsid w:val="00FC07A5"/>
    <w:rsid w:val="00FE6A70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8B"/>
    <w:pPr>
      <w:widowControl w:val="0"/>
    </w:pPr>
    <w:rPr>
      <w:rFonts w:ascii="Bodoni MT" w:hAnsi="Bodoni MT" w:cs="Bodoni MT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B2D51"/>
    <w:pPr>
      <w:keepNext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4B2D51"/>
    <w:pPr>
      <w:keepNext/>
      <w:spacing w:line="720" w:lineRule="auto"/>
      <w:outlineLvl w:val="1"/>
    </w:pPr>
    <w:rPr>
      <w:rFonts w:ascii="Arial" w:hAnsi="Arial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B2D51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B2D51"/>
    <w:rPr>
      <w:rFonts w:ascii="Arial" w:hAnsi="Arial"/>
      <w:b/>
      <w:bCs/>
      <w:kern w:val="2"/>
      <w:sz w:val="48"/>
      <w:szCs w:val="48"/>
    </w:rPr>
  </w:style>
  <w:style w:type="paragraph" w:styleId="a3">
    <w:name w:val="No Spacing"/>
    <w:qFormat/>
    <w:rsid w:val="004B2D51"/>
    <w:pPr>
      <w:widowControl w:val="0"/>
    </w:pPr>
    <w:rPr>
      <w:rFonts w:ascii="Calibri" w:hAnsi="Calibri"/>
      <w:kern w:val="2"/>
      <w:sz w:val="24"/>
      <w:szCs w:val="22"/>
    </w:rPr>
  </w:style>
  <w:style w:type="paragraph" w:styleId="3">
    <w:name w:val="Body Text 3"/>
    <w:basedOn w:val="a"/>
    <w:link w:val="30"/>
    <w:rsid w:val="00497B8B"/>
    <w:pPr>
      <w:spacing w:after="120"/>
    </w:pPr>
    <w:rPr>
      <w:rFonts w:ascii="Book Antiqua" w:hAnsi="Book Antiqua" w:cs="Times New Roman"/>
      <w:sz w:val="16"/>
      <w:szCs w:val="16"/>
      <w:lang w:val="x-none" w:eastAsia="x-none"/>
    </w:rPr>
  </w:style>
  <w:style w:type="character" w:customStyle="1" w:styleId="30">
    <w:name w:val="本文 3 字元"/>
    <w:link w:val="3"/>
    <w:rsid w:val="00497B8B"/>
    <w:rPr>
      <w:rFonts w:ascii="Book Antiqua" w:hAnsi="Book Antiqua" w:cs="Book Antiqua"/>
      <w:kern w:val="2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F4CC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F4CC0"/>
    <w:rPr>
      <w:rFonts w:ascii="Bodoni MT" w:hAnsi="Bodoni MT" w:cs="Bodoni MT"/>
      <w:kern w:val="2"/>
    </w:rPr>
  </w:style>
  <w:style w:type="paragraph" w:styleId="a6">
    <w:name w:val="footer"/>
    <w:basedOn w:val="a"/>
    <w:link w:val="a7"/>
    <w:uiPriority w:val="99"/>
    <w:unhideWhenUsed/>
    <w:rsid w:val="005F4CC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F4CC0"/>
    <w:rPr>
      <w:rFonts w:ascii="Bodoni MT" w:hAnsi="Bodoni MT" w:cs="Bodoni MT"/>
      <w:kern w:val="2"/>
    </w:rPr>
  </w:style>
  <w:style w:type="character" w:styleId="a8">
    <w:name w:val="page number"/>
    <w:basedOn w:val="a0"/>
    <w:semiHidden/>
    <w:rsid w:val="00416F7A"/>
  </w:style>
  <w:style w:type="paragraph" w:customStyle="1" w:styleId="Default">
    <w:name w:val="Default"/>
    <w:rsid w:val="00416F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666E9"/>
    <w:pPr>
      <w:ind w:leftChars="200" w:left="480"/>
    </w:pPr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8B"/>
    <w:pPr>
      <w:widowControl w:val="0"/>
    </w:pPr>
    <w:rPr>
      <w:rFonts w:ascii="Bodoni MT" w:hAnsi="Bodoni MT" w:cs="Bodoni MT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B2D51"/>
    <w:pPr>
      <w:keepNext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4B2D51"/>
    <w:pPr>
      <w:keepNext/>
      <w:spacing w:line="720" w:lineRule="auto"/>
      <w:outlineLvl w:val="1"/>
    </w:pPr>
    <w:rPr>
      <w:rFonts w:ascii="Arial" w:hAnsi="Arial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B2D51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B2D51"/>
    <w:rPr>
      <w:rFonts w:ascii="Arial" w:hAnsi="Arial"/>
      <w:b/>
      <w:bCs/>
      <w:kern w:val="2"/>
      <w:sz w:val="48"/>
      <w:szCs w:val="48"/>
    </w:rPr>
  </w:style>
  <w:style w:type="paragraph" w:styleId="a3">
    <w:name w:val="No Spacing"/>
    <w:qFormat/>
    <w:rsid w:val="004B2D51"/>
    <w:pPr>
      <w:widowControl w:val="0"/>
    </w:pPr>
    <w:rPr>
      <w:rFonts w:ascii="Calibri" w:hAnsi="Calibri"/>
      <w:kern w:val="2"/>
      <w:sz w:val="24"/>
      <w:szCs w:val="22"/>
    </w:rPr>
  </w:style>
  <w:style w:type="paragraph" w:styleId="3">
    <w:name w:val="Body Text 3"/>
    <w:basedOn w:val="a"/>
    <w:link w:val="30"/>
    <w:rsid w:val="00497B8B"/>
    <w:pPr>
      <w:spacing w:after="120"/>
    </w:pPr>
    <w:rPr>
      <w:rFonts w:ascii="Book Antiqua" w:hAnsi="Book Antiqua" w:cs="Times New Roman"/>
      <w:sz w:val="16"/>
      <w:szCs w:val="16"/>
      <w:lang w:val="x-none" w:eastAsia="x-none"/>
    </w:rPr>
  </w:style>
  <w:style w:type="character" w:customStyle="1" w:styleId="30">
    <w:name w:val="本文 3 字元"/>
    <w:link w:val="3"/>
    <w:rsid w:val="00497B8B"/>
    <w:rPr>
      <w:rFonts w:ascii="Book Antiqua" w:hAnsi="Book Antiqua" w:cs="Book Antiqua"/>
      <w:kern w:val="2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F4CC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F4CC0"/>
    <w:rPr>
      <w:rFonts w:ascii="Bodoni MT" w:hAnsi="Bodoni MT" w:cs="Bodoni MT"/>
      <w:kern w:val="2"/>
    </w:rPr>
  </w:style>
  <w:style w:type="paragraph" w:styleId="a6">
    <w:name w:val="footer"/>
    <w:basedOn w:val="a"/>
    <w:link w:val="a7"/>
    <w:uiPriority w:val="99"/>
    <w:unhideWhenUsed/>
    <w:rsid w:val="005F4CC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F4CC0"/>
    <w:rPr>
      <w:rFonts w:ascii="Bodoni MT" w:hAnsi="Bodoni MT" w:cs="Bodoni MT"/>
      <w:kern w:val="2"/>
    </w:rPr>
  </w:style>
  <w:style w:type="character" w:styleId="a8">
    <w:name w:val="page number"/>
    <w:basedOn w:val="a0"/>
    <w:semiHidden/>
    <w:rsid w:val="00416F7A"/>
  </w:style>
  <w:style w:type="paragraph" w:customStyle="1" w:styleId="Default">
    <w:name w:val="Default"/>
    <w:rsid w:val="00416F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666E9"/>
    <w:pPr>
      <w:ind w:leftChars="200" w:left="480"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5311-CACD-4ADB-9283-7527C9F0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user</cp:lastModifiedBy>
  <cp:revision>2</cp:revision>
  <cp:lastPrinted>2016-04-07T11:06:00Z</cp:lastPrinted>
  <dcterms:created xsi:type="dcterms:W3CDTF">2017-01-12T00:41:00Z</dcterms:created>
  <dcterms:modified xsi:type="dcterms:W3CDTF">2017-01-12T00:41:00Z</dcterms:modified>
</cp:coreProperties>
</file>