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3FB5" w14:textId="77777777" w:rsidR="008A19DD" w:rsidRDefault="008A19DD" w:rsidP="00D76D89">
      <w:r>
        <w:separator/>
      </w:r>
    </w:p>
  </w:endnote>
  <w:endnote w:type="continuationSeparator" w:id="0">
    <w:p w14:paraId="004D83DC" w14:textId="77777777" w:rsidR="008A19DD" w:rsidRDefault="008A19DD"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1E19" w14:textId="07BF0D4C" w:rsidR="00612019" w:rsidRDefault="00612019" w:rsidP="00612019">
    <w:pPr>
      <w:pStyle w:val="ae"/>
      <w:jc w:val="center"/>
    </w:pPr>
    <w:r>
      <w:fldChar w:fldCharType="begin"/>
    </w:r>
    <w:r>
      <w:instrText>PAGE   \* MERGEFORMAT</w:instrText>
    </w:r>
    <w:r>
      <w:fldChar w:fldCharType="separate"/>
    </w:r>
    <w:r w:rsidR="0088446F" w:rsidRPr="0088446F">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D01D4" w14:textId="77777777" w:rsidR="008A19DD" w:rsidRDefault="008A19DD" w:rsidP="00D76D89">
      <w:r>
        <w:separator/>
      </w:r>
    </w:p>
  </w:footnote>
  <w:footnote w:type="continuationSeparator" w:id="0">
    <w:p w14:paraId="4998677F" w14:textId="77777777" w:rsidR="008A19DD" w:rsidRDefault="008A19DD" w:rsidP="00D7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88446F"/>
    <w:rsid w:val="008A19DD"/>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1211</Words>
  <Characters>1429</Characters>
  <Application>Microsoft Office Word</Application>
  <DocSecurity>0</DocSecurity>
  <Lines>119</Lines>
  <Paragraphs>164</Paragraphs>
  <ScaleCrop>false</ScaleCrop>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user</cp:lastModifiedBy>
  <cp:revision>2</cp:revision>
  <dcterms:created xsi:type="dcterms:W3CDTF">2025-08-19T07:52:00Z</dcterms:created>
  <dcterms:modified xsi:type="dcterms:W3CDTF">2025-08-19T07:52:00Z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5ff6acff-815a-437b-b42b-d492b3f12032</vt:lpwstr>
  </property>
</Properties>
</file>