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7F" w:rsidRDefault="00683A5A">
      <w:pPr>
        <w:snapToGrid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3</w:t>
      </w:r>
    </w:p>
    <w:p w:rsidR="00D14A7F" w:rsidRDefault="00D14A7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14A7F" w:rsidRDefault="00D14A7F">
      <w:pPr>
        <w:snapToGrid w:val="0"/>
        <w:spacing w:line="500" w:lineRule="exact"/>
        <w:ind w:left="878" w:hanging="240"/>
      </w:pPr>
    </w:p>
    <w:p w:rsidR="00D14A7F" w:rsidRDefault="00D14A7F">
      <w:pPr>
        <w:snapToGrid w:val="0"/>
        <w:spacing w:line="500" w:lineRule="exact"/>
        <w:ind w:left="958" w:hanging="320"/>
        <w:rPr>
          <w:rFonts w:ascii="標楷體" w:eastAsia="標楷體" w:hAnsi="標楷體"/>
          <w:sz w:val="32"/>
          <w:szCs w:val="32"/>
        </w:rPr>
      </w:pPr>
    </w:p>
    <w:p w:rsidR="00D14A7F" w:rsidRDefault="00D14A7F">
      <w:pPr>
        <w:snapToGrid w:val="0"/>
        <w:spacing w:line="500" w:lineRule="exact"/>
        <w:ind w:left="958" w:hanging="320"/>
        <w:rPr>
          <w:rFonts w:ascii="標楷體" w:eastAsia="標楷體" w:hAnsi="標楷體"/>
          <w:sz w:val="32"/>
          <w:szCs w:val="32"/>
        </w:rPr>
      </w:pPr>
    </w:p>
    <w:p w:rsidR="00D14A7F" w:rsidRDefault="00683A5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403860</wp:posOffset>
                </wp:positionV>
                <wp:extent cx="5960110" cy="662432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662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86" w:type="dxa"/>
                              <w:jc w:val="center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4"/>
                              <w:gridCol w:w="2246"/>
                              <w:gridCol w:w="3165"/>
                              <w:gridCol w:w="3041"/>
                            </w:tblGrid>
                            <w:tr w:rsidR="00D14A7F">
                              <w:trPr>
                                <w:cantSplit/>
                                <w:trHeight w:val="709"/>
                                <w:jc w:val="center"/>
                              </w:trPr>
                              <w:tc>
                                <w:tcPr>
                                  <w:tcW w:w="9386" w:type="dxa"/>
                                  <w:gridSpan w:val="4"/>
                                  <w:tcBorders>
                                    <w:top w:val="single" w:sz="24" w:space="0" w:color="00000A"/>
                                    <w:left w:val="single" w:sz="24" w:space="0" w:color="00000A"/>
                                    <w:bottom w:val="single" w:sz="6" w:space="0" w:color="00000A"/>
                                    <w:right w:val="single" w:sz="2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-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20"/>
                                      <w:sz w:val="32"/>
                                      <w:szCs w:val="32"/>
                                    </w:rPr>
                                    <w:t>後備軍人與補充兵緩召、逐次及儘後召集辦理對象役別範圍表</w:t>
                                  </w:r>
                                </w:p>
                              </w:tc>
                            </w:tr>
                            <w:tr w:rsidR="00D14A7F">
                              <w:trPr>
                                <w:cantSplit/>
                                <w:trHeight w:val="1290"/>
                                <w:jc w:val="center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6" w:space="0" w:color="00000A"/>
                                    <w:left w:val="single" w:sz="24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ind w:right="119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後備軍官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ind w:right="119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後備士官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2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ind w:right="119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後備士兵</w:t>
                                  </w:r>
                                </w:p>
                              </w:tc>
                            </w:tr>
                            <w:tr w:rsidR="00D14A7F">
                              <w:trPr>
                                <w:cantSplit/>
                                <w:trHeight w:val="1290"/>
                                <w:jc w:val="center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6" w:space="0" w:color="00000A"/>
                                    <w:left w:val="single" w:sz="24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常備軍官後備役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常備士官後備役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2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常備兵後備役</w:t>
                                  </w:r>
                                </w:p>
                              </w:tc>
                            </w:tr>
                            <w:tr w:rsidR="00D14A7F">
                              <w:trPr>
                                <w:cantSplit/>
                                <w:trHeight w:val="1474"/>
                                <w:jc w:val="center"/>
                              </w:trPr>
                              <w:tc>
                                <w:tcPr>
                                  <w:tcW w:w="3180" w:type="dxa"/>
                                  <w:gridSpan w:val="2"/>
                                  <w:tcBorders>
                                    <w:top w:val="single" w:sz="6" w:space="0" w:color="00000A"/>
                                    <w:left w:val="single" w:sz="24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預備軍官後備役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預備士官後備役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24" w:space="0" w:color="0000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4A7F" w:rsidRDefault="00683A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補充兵</w:t>
                                  </w:r>
                                </w:p>
                              </w:tc>
                            </w:tr>
                            <w:tr w:rsidR="00D14A7F">
                              <w:trPr>
                                <w:cantSplit/>
                                <w:trHeight w:val="5609"/>
                                <w:jc w:val="center"/>
                              </w:trPr>
                              <w:tc>
                                <w:tcPr>
                                  <w:tcW w:w="934" w:type="dxa"/>
                                  <w:tcBorders>
                                    <w:top w:val="single" w:sz="6" w:space="0" w:color="00000A"/>
                                    <w:left w:val="single" w:sz="24" w:space="0" w:color="00000A"/>
                                    <w:bottom w:val="single" w:sz="24" w:space="0" w:color="00000A"/>
                                    <w:right w:val="single" w:sz="6" w:space="0" w:color="00000A"/>
                                  </w:tcBorders>
                                  <w:shd w:val="clear" w:color="auto" w:fill="FFFFFF"/>
                                  <w:textDirection w:val="tbRl"/>
                                  <w:vAlign w:val="center"/>
                                </w:tcPr>
                                <w:p w:rsidR="00D14A7F" w:rsidRDefault="00683A5A">
                                  <w:pPr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8452" w:type="dxa"/>
                                  <w:gridSpan w:val="3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24" w:space="0" w:color="00000A"/>
                                    <w:right w:val="single" w:sz="24" w:space="0" w:color="00000A"/>
                                  </w:tcBorders>
                                  <w:shd w:val="clear" w:color="auto" w:fill="FFFFFF"/>
                                </w:tcPr>
                                <w:p w:rsidR="00D14A7F" w:rsidRDefault="00683A5A">
                                  <w:pPr>
                                    <w:snapToGrid w:val="0"/>
                                    <w:ind w:left="640" w:hanging="64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一、後備軍人及補充兵緩召、逐次及儘後召集案件，有關年齡之計算標準，依徵兵規則辦理，並受理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至除役當年為止。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ind w:left="640" w:hanging="640"/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二、凡未列入本表範圍之後備軍人，暫不辦理緩召、逐次及儘後召集，爾後視需要另行規定辦理。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三、因病、因案停役人員不納入辦理對象範圍。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ind w:left="640" w:hanging="640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四、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替代役及其他非後備軍人等人員，均不納入辦理對象。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ind w:left="480" w:hanging="48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五、具後備軍人身份之國防工業訓儲預官、警官、警察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ind w:left="480" w:hanging="48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（原忠誠、忠勤案管制人員）及因停退伍之後備列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ind w:left="480" w:hanging="48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管人員等，均納入申請範圍。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ind w:left="480" w:hanging="48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六、出國逾二年者，且經戶政除籍者，暫不受理申請，</w:t>
                                  </w:r>
                                </w:p>
                                <w:p w:rsidR="00D14A7F" w:rsidRDefault="00683A5A">
                                  <w:pPr>
                                    <w:snapToGrid w:val="0"/>
                                    <w:ind w:left="480" w:hanging="48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32"/>
                                      <w:szCs w:val="32"/>
                                    </w:rPr>
                                    <w:t>俟返國後依年度公告日期提出申請。</w:t>
                                  </w:r>
                                </w:p>
                              </w:tc>
                            </w:tr>
                          </w:tbl>
                          <w:p w:rsidR="00000000" w:rsidRDefault="00683A5A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0;margin-top:31.8pt;width:469.3pt;height:521.6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9386" w:type="dxa"/>
                        <w:jc w:val="center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4"/>
                        <w:gridCol w:w="2246"/>
                        <w:gridCol w:w="3165"/>
                        <w:gridCol w:w="3041"/>
                      </w:tblGrid>
                      <w:tr w:rsidR="00D14A7F">
                        <w:trPr>
                          <w:cantSplit/>
                          <w:trHeight w:val="709"/>
                          <w:jc w:val="center"/>
                        </w:trPr>
                        <w:tc>
                          <w:tcPr>
                            <w:tcW w:w="9386" w:type="dxa"/>
                            <w:gridSpan w:val="4"/>
                            <w:tcBorders>
                              <w:top w:val="single" w:sz="24" w:space="0" w:color="00000A"/>
                              <w:left w:val="single" w:sz="24" w:space="0" w:color="00000A"/>
                              <w:bottom w:val="single" w:sz="6" w:space="0" w:color="00000A"/>
                              <w:right w:val="single" w:sz="2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20"/>
                                <w:sz w:val="32"/>
                                <w:szCs w:val="32"/>
                              </w:rPr>
                              <w:t>後備軍人與補充兵緩召、逐次及儘後召集辦理對象役別範圍表</w:t>
                            </w:r>
                          </w:p>
                        </w:tc>
                      </w:tr>
                      <w:tr w:rsidR="00D14A7F">
                        <w:trPr>
                          <w:cantSplit/>
                          <w:trHeight w:val="1290"/>
                          <w:jc w:val="center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6" w:space="0" w:color="00000A"/>
                              <w:left w:val="single" w:sz="24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ind w:right="119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後備軍官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ind w:right="119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後備士官</w:t>
                            </w: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2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ind w:right="119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後備士兵</w:t>
                            </w:r>
                          </w:p>
                        </w:tc>
                      </w:tr>
                      <w:tr w:rsidR="00D14A7F">
                        <w:trPr>
                          <w:cantSplit/>
                          <w:trHeight w:val="1290"/>
                          <w:jc w:val="center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6" w:space="0" w:color="00000A"/>
                              <w:left w:val="single" w:sz="24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常備軍官後備役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常備士官後備役</w:t>
                            </w: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2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常備兵後備役</w:t>
                            </w:r>
                          </w:p>
                        </w:tc>
                      </w:tr>
                      <w:tr w:rsidR="00D14A7F">
                        <w:trPr>
                          <w:cantSplit/>
                          <w:trHeight w:val="1474"/>
                          <w:jc w:val="center"/>
                        </w:trPr>
                        <w:tc>
                          <w:tcPr>
                            <w:tcW w:w="3180" w:type="dxa"/>
                            <w:gridSpan w:val="2"/>
                            <w:tcBorders>
                              <w:top w:val="single" w:sz="6" w:space="0" w:color="00000A"/>
                              <w:left w:val="single" w:sz="24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預備軍官後備役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預備士官後備役</w:t>
                            </w:r>
                          </w:p>
                        </w:tc>
                        <w:tc>
                          <w:tcPr>
                            <w:tcW w:w="3041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24" w:space="0" w:color="00000A"/>
                            </w:tcBorders>
                            <w:shd w:val="clear" w:color="auto" w:fill="FFFFFF"/>
                            <w:vAlign w:val="center"/>
                          </w:tcPr>
                          <w:p w:rsidR="00D14A7F" w:rsidRDefault="00683A5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補充兵</w:t>
                            </w:r>
                          </w:p>
                        </w:tc>
                      </w:tr>
                      <w:tr w:rsidR="00D14A7F">
                        <w:trPr>
                          <w:cantSplit/>
                          <w:trHeight w:val="5609"/>
                          <w:jc w:val="center"/>
                        </w:trPr>
                        <w:tc>
                          <w:tcPr>
                            <w:tcW w:w="934" w:type="dxa"/>
                            <w:tcBorders>
                              <w:top w:val="single" w:sz="6" w:space="0" w:color="00000A"/>
                              <w:left w:val="single" w:sz="24" w:space="0" w:color="00000A"/>
                              <w:bottom w:val="single" w:sz="24" w:space="0" w:color="00000A"/>
                              <w:right w:val="single" w:sz="6" w:space="0" w:color="00000A"/>
                            </w:tcBorders>
                            <w:shd w:val="clear" w:color="auto" w:fill="FFFFFF"/>
                            <w:textDirection w:val="tbRl"/>
                            <w:vAlign w:val="center"/>
                          </w:tcPr>
                          <w:p w:rsidR="00D14A7F" w:rsidRDefault="00683A5A">
                            <w:pPr>
                              <w:ind w:left="113" w:right="11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備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8452" w:type="dxa"/>
                            <w:gridSpan w:val="3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24" w:space="0" w:color="00000A"/>
                              <w:right w:val="single" w:sz="24" w:space="0" w:color="00000A"/>
                            </w:tcBorders>
                            <w:shd w:val="clear" w:color="auto" w:fill="FFFFFF"/>
                          </w:tcPr>
                          <w:p w:rsidR="00D14A7F" w:rsidRDefault="00683A5A">
                            <w:pPr>
                              <w:snapToGrid w:val="0"/>
                              <w:ind w:left="640" w:hanging="64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一、後備軍人及補充兵緩召、逐次及儘後召集案件，有關年齡之計算標準，依徵兵規則辦理，並受理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至除役當年為止。</w:t>
                            </w:r>
                          </w:p>
                          <w:p w:rsidR="00D14A7F" w:rsidRDefault="00683A5A">
                            <w:pPr>
                              <w:snapToGrid w:val="0"/>
                              <w:ind w:left="640" w:hanging="640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二、凡未列入本表範圍之後備軍人，暫不辦理緩召、逐次及儘後召集，爾後視需要另行規定辦理。</w:t>
                            </w:r>
                          </w:p>
                          <w:p w:rsidR="00D14A7F" w:rsidRDefault="00683A5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三、因病、因案停役人員不納入辦理對象範圍。</w:t>
                            </w:r>
                          </w:p>
                          <w:p w:rsidR="00D14A7F" w:rsidRDefault="00683A5A">
                            <w:pPr>
                              <w:snapToGrid w:val="0"/>
                              <w:ind w:left="640" w:hanging="64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四、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替代役及其他非後備軍人等人員，均不納入辦理對象。</w:t>
                            </w:r>
                          </w:p>
                          <w:p w:rsidR="00D14A7F" w:rsidRDefault="00683A5A">
                            <w:pPr>
                              <w:snapToGrid w:val="0"/>
                              <w:ind w:left="480" w:hanging="48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五、具後備軍人身份之國防工業訓儲預官、警官、警察</w:t>
                            </w:r>
                          </w:p>
                          <w:p w:rsidR="00D14A7F" w:rsidRDefault="00683A5A">
                            <w:pPr>
                              <w:snapToGrid w:val="0"/>
                              <w:ind w:left="480" w:hanging="48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（原忠誠、忠勤案管制人員）及因停退伍之後備列</w:t>
                            </w:r>
                          </w:p>
                          <w:p w:rsidR="00D14A7F" w:rsidRDefault="00683A5A">
                            <w:pPr>
                              <w:snapToGrid w:val="0"/>
                              <w:ind w:left="480" w:hanging="48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管人員等，均納入申請範圍。</w:t>
                            </w:r>
                          </w:p>
                          <w:p w:rsidR="00D14A7F" w:rsidRDefault="00683A5A">
                            <w:pPr>
                              <w:snapToGrid w:val="0"/>
                              <w:ind w:left="480" w:hanging="48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六、出國逾二年者，且經戶政除籍者，暫不受理申請，</w:t>
                            </w:r>
                          </w:p>
                          <w:p w:rsidR="00D14A7F" w:rsidRDefault="00683A5A">
                            <w:pPr>
                              <w:snapToGrid w:val="0"/>
                              <w:ind w:left="480" w:hanging="48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俟返國後依年度公告日期提出申請。</w:t>
                            </w:r>
                          </w:p>
                        </w:tc>
                      </w:tr>
                    </w:tbl>
                    <w:p w:rsidR="00000000" w:rsidRDefault="00683A5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14A7F" w:rsidRDefault="00D14A7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14A7F" w:rsidRDefault="00D14A7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14A7F" w:rsidRDefault="00683A5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4</w:t>
      </w:r>
    </w:p>
    <w:p w:rsidR="00D14A7F" w:rsidRDefault="00683A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各階除役年齡換算表</w:t>
      </w:r>
    </w:p>
    <w:tbl>
      <w:tblPr>
        <w:tblW w:w="986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8"/>
        <w:gridCol w:w="1132"/>
        <w:gridCol w:w="1842"/>
        <w:gridCol w:w="1131"/>
        <w:gridCol w:w="1702"/>
        <w:gridCol w:w="751"/>
      </w:tblGrid>
      <w:tr w:rsidR="00D14A7F">
        <w:trPr>
          <w:trHeight w:val="526"/>
        </w:trPr>
        <w:tc>
          <w:tcPr>
            <w:tcW w:w="3306" w:type="dxa"/>
            <w:gridSpan w:val="2"/>
            <w:tcBorders>
              <w:top w:val="thinThickSmallGap" w:sz="24" w:space="0" w:color="00000A"/>
              <w:left w:val="thinThickSmallGap" w:sz="2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  <w:t>士兵</w:t>
            </w:r>
            <w:r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  <w:t>補充兵</w:t>
            </w:r>
            <w:r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  <w:t>)</w:t>
            </w:r>
          </w:p>
        </w:tc>
        <w:tc>
          <w:tcPr>
            <w:tcW w:w="2974" w:type="dxa"/>
            <w:gridSpan w:val="2"/>
            <w:tcBorders>
              <w:top w:val="thinThickSmallGap" w:sz="2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  <w:t>士官、尉官</w:t>
            </w:r>
          </w:p>
        </w:tc>
        <w:tc>
          <w:tcPr>
            <w:tcW w:w="2833" w:type="dxa"/>
            <w:gridSpan w:val="2"/>
            <w:tcBorders>
              <w:top w:val="thinThickSmallGap" w:sz="2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bCs/>
                <w:spacing w:val="-20"/>
                <w:sz w:val="32"/>
                <w:szCs w:val="32"/>
              </w:rPr>
              <w:t>士官長、校官</w:t>
            </w:r>
          </w:p>
        </w:tc>
        <w:tc>
          <w:tcPr>
            <w:tcW w:w="751" w:type="dxa"/>
            <w:tcBorders>
              <w:top w:val="thinThickSmallGap" w:sz="24" w:space="0" w:color="00000A"/>
              <w:left w:val="single" w:sz="4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pacing w:line="400" w:lineRule="exact"/>
              <w:rPr>
                <w:rFonts w:ascii="標楷體" w:eastAsia="標楷體" w:hAnsi="標楷體" w:cs="Times New Roman"/>
                <w:b/>
                <w:bCs/>
                <w:spacing w:val="-20"/>
                <w:sz w:val="34"/>
                <w:szCs w:val="34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年次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除役年限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年次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除役年限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年次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除役年限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備考</w:t>
            </w: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1091231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1091231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1091231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1101231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1101231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1101231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1111231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1111231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1111231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1121231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1121231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1121231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1131231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1131231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1131231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1141231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1141231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1141231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1151231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1151231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1151231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1161231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1161231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1161231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1171231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1171231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1171231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1181231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1181231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1181231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1191231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1191231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1191231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1201231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1201231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1201231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1211231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1211231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1211231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1221231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1221231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1221231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1231231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1231231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1231234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1241231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1241231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1241231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1251231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1251231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1251231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bookmarkStart w:id="0" w:name="_GoBack1"/>
            <w:bookmarkEnd w:id="0"/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1261231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1261231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1261231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3306" w:type="dxa"/>
            <w:gridSpan w:val="2"/>
            <w:vMerge w:val="restart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FF0000"/>
                <w:sz w:val="32"/>
                <w:szCs w:val="32"/>
              </w:rPr>
              <w:t>志願役士兵</w:t>
            </w:r>
            <w:r>
              <w:rPr>
                <w:rFonts w:ascii="標楷體" w:eastAsia="標楷體" w:hAnsi="標楷體" w:cs="Times New Roman"/>
                <w:b/>
                <w:bCs/>
                <w:color w:val="FF0000"/>
                <w:sz w:val="32"/>
                <w:szCs w:val="32"/>
              </w:rPr>
              <w:t>64</w:t>
            </w:r>
            <w:r>
              <w:rPr>
                <w:rFonts w:ascii="標楷體" w:eastAsia="標楷體" w:hAnsi="標楷體" w:cs="Times New Roman"/>
                <w:b/>
                <w:bCs/>
                <w:color w:val="FF0000"/>
                <w:sz w:val="32"/>
                <w:szCs w:val="32"/>
              </w:rPr>
              <w:t>年次</w:t>
            </w:r>
            <w:r>
              <w:rPr>
                <w:rFonts w:ascii="標楷體" w:eastAsia="標楷體" w:hAnsi="標楷體" w:cs="Times New Roman"/>
                <w:b/>
                <w:bCs/>
                <w:color w:val="FF0000"/>
                <w:sz w:val="32"/>
                <w:szCs w:val="32"/>
              </w:rPr>
              <w:t>109.12.31</w:t>
            </w:r>
            <w:r>
              <w:rPr>
                <w:rFonts w:ascii="標楷體" w:eastAsia="標楷體" w:hAnsi="標楷體" w:cs="Times New Roman"/>
                <w:b/>
                <w:bCs/>
                <w:color w:val="FF0000"/>
                <w:sz w:val="32"/>
                <w:szCs w:val="32"/>
              </w:rPr>
              <w:t>除役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1271231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1271231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3306" w:type="dxa"/>
            <w:gridSpan w:val="2"/>
            <w:vMerge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D14A7F"/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1281231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1281231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1291231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1291231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1301231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1301231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D14A7F">
        <w:trPr>
          <w:trHeight w:val="526"/>
        </w:trPr>
        <w:tc>
          <w:tcPr>
            <w:tcW w:w="1178" w:type="dxa"/>
            <w:tcBorders>
              <w:top w:val="single" w:sz="6" w:space="0" w:color="00000A"/>
              <w:left w:val="thinThickSmallGap" w:sz="24" w:space="0" w:color="00000A"/>
              <w:bottom w:val="thickThinSmallGap" w:sz="2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thickThinSmallGap" w:sz="2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thickThinSmallGap" w:sz="2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thickThinSmallGap" w:sz="2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1311231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thickThinSmallGap" w:sz="2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thickThinSmallGap" w:sz="2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32"/>
              </w:rPr>
              <w:t>1311231</w:t>
            </w:r>
          </w:p>
        </w:tc>
        <w:tc>
          <w:tcPr>
            <w:tcW w:w="751" w:type="dxa"/>
            <w:tcBorders>
              <w:top w:val="single" w:sz="6" w:space="0" w:color="00000A"/>
              <w:left w:val="single" w:sz="6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auto"/>
            <w:vAlign w:val="center"/>
          </w:tcPr>
          <w:p w:rsidR="00D14A7F" w:rsidRDefault="00D14A7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D14A7F" w:rsidRDefault="00683A5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bookmarkStart w:id="1" w:name="_GoBack"/>
      <w:bookmarkEnd w:id="1"/>
      <w:r>
        <w:rPr>
          <w:rFonts w:ascii="標楷體" w:eastAsia="標楷體" w:hAnsi="標楷體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6</w:t>
      </w:r>
    </w:p>
    <w:tbl>
      <w:tblPr>
        <w:tblW w:w="10545" w:type="dxa"/>
        <w:tblInd w:w="-372" w:type="dxa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340"/>
        <w:gridCol w:w="1440"/>
        <w:gridCol w:w="3780"/>
        <w:gridCol w:w="1890"/>
      </w:tblGrid>
      <w:tr w:rsidR="00D14A7F">
        <w:trPr>
          <w:trHeight w:val="570"/>
        </w:trPr>
        <w:tc>
          <w:tcPr>
            <w:tcW w:w="10545" w:type="dxa"/>
            <w:gridSpan w:val="5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後備軍人及補充兵申請緩召三款應檢附相關資料、申請時間</w:t>
            </w:r>
          </w:p>
        </w:tc>
      </w:tr>
      <w:tr w:rsidR="00D14A7F">
        <w:trPr>
          <w:trHeight w:val="547"/>
        </w:trPr>
        <w:tc>
          <w:tcPr>
            <w:tcW w:w="10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申請對象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申請時間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檢附資料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備考</w:t>
            </w:r>
          </w:p>
        </w:tc>
      </w:tr>
      <w:tr w:rsidR="00D14A7F">
        <w:trPr>
          <w:trHeight w:val="2605"/>
        </w:trPr>
        <w:tc>
          <w:tcPr>
            <w:tcW w:w="10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ind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新發生原因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調任新學校（由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新任學校辦理）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退伍回校報到任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教。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甄試報到任教。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復職報到。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事實發生</w:t>
            </w:r>
          </w:p>
          <w:p w:rsidR="00D14A7F" w:rsidRDefault="00683A5A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個月內</w:t>
            </w:r>
          </w:p>
        </w:tc>
        <w:tc>
          <w:tcPr>
            <w:tcW w:w="3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  <w:highlight w:val="lightGray"/>
              </w:rPr>
              <w:t>緩召處理名冊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（一式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份）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  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二、佐證資料（影印本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份）。</w:t>
            </w:r>
          </w:p>
          <w:p w:rsidR="00D14A7F" w:rsidRDefault="00683A5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  <w:highlight w:val="lightGray"/>
              </w:rPr>
              <w:t>聘書影本。</w:t>
            </w:r>
          </w:p>
          <w:p w:rsidR="00D14A7F" w:rsidRDefault="00683A5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  <w:highlight w:val="lightGray"/>
              </w:rPr>
              <w:t>教師登記合格證影本。</w:t>
            </w:r>
          </w:p>
          <w:p w:rsidR="00D14A7F" w:rsidRDefault="00683A5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t>原學校離職證明（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t>月份</w:t>
            </w:r>
          </w:p>
          <w:p w:rsidR="00D14A7F" w:rsidRDefault="00683A5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t>調校教師需檢附）</w:t>
            </w:r>
          </w:p>
          <w:p w:rsidR="00D14A7F" w:rsidRDefault="00683A5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任教期間合計滿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年證明</w:t>
            </w:r>
          </w:p>
          <w:p w:rsidR="00D14A7F" w:rsidRDefault="00683A5A">
            <w:pPr>
              <w:snapToGrid w:val="0"/>
              <w:spacing w:line="300" w:lineRule="exact"/>
              <w:ind w:left="701" w:hanging="701"/>
              <w:jc w:val="both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5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課表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</w:rPr>
              <w:t>專科學校五年制前三年及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教師兼任主任、</w:t>
            </w:r>
          </w:p>
          <w:p w:rsidR="00D14A7F" w:rsidRDefault="00683A5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組長、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特殊教育巡迴教師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需檢附）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6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復職人令（復職人員需檢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附）</w:t>
            </w:r>
          </w:p>
        </w:tc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請於處理名冊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內「學校審查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意見欄」，詳填申請人「畢業學校」，俾利資料審查，無填註者請加附「畢業證書」</w:t>
            </w:r>
          </w:p>
        </w:tc>
      </w:tr>
      <w:tr w:rsidR="00D14A7F">
        <w:trPr>
          <w:trHeight w:val="1783"/>
        </w:trPr>
        <w:tc>
          <w:tcPr>
            <w:tcW w:w="10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初次</w:t>
            </w:r>
          </w:p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申請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已逾新發生申請時間。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上年度漏申辦緩召者及未辦理緩召者。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日至</w:t>
            </w:r>
          </w:p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D14A7F"/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D14A7F" w:rsidRDefault="00D14A7F"/>
        </w:tc>
      </w:tr>
      <w:tr w:rsidR="00D14A7F">
        <w:trPr>
          <w:trHeight w:val="2023"/>
        </w:trPr>
        <w:tc>
          <w:tcPr>
            <w:tcW w:w="10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延長</w:t>
            </w:r>
          </w:p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時效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原核准緩召至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日者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日至</w:t>
            </w:r>
          </w:p>
          <w:p w:rsidR="00D14A7F" w:rsidRDefault="00683A5A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4A7F" w:rsidRDefault="00683A5A">
            <w:pPr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  <w:highlight w:val="lightGray"/>
              </w:rPr>
              <w:t>緩召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  <w:highlight w:val="lightGray"/>
              </w:rPr>
              <w:t>處理名冊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（一式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份）</w:t>
            </w:r>
          </w:p>
          <w:p w:rsidR="00D14A7F" w:rsidRDefault="00683A5A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二、佐證資料（影印本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份）</w:t>
            </w:r>
          </w:p>
          <w:p w:rsidR="00D14A7F" w:rsidRDefault="00683A5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1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highlight w:val="lightGray"/>
              </w:rPr>
              <w:t>聘書影本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份）</w:t>
            </w:r>
          </w:p>
          <w:p w:rsidR="00D14A7F" w:rsidRDefault="00683A5A">
            <w:pPr>
              <w:snapToGrid w:val="0"/>
              <w:spacing w:line="300" w:lineRule="exact"/>
              <w:ind w:left="560" w:hanging="560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  <w:highlight w:val="lightGray"/>
              </w:rPr>
              <w:t>課表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</w:rPr>
              <w:t>專科學校五年制前三年及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教師兼任主任、組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長、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特殊教育巡迴教師）</w:t>
            </w:r>
          </w:p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D14A7F" w:rsidRDefault="00D14A7F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4A7F">
        <w:trPr>
          <w:trHeight w:val="966"/>
        </w:trPr>
        <w:tc>
          <w:tcPr>
            <w:tcW w:w="10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緩召</w:t>
            </w:r>
          </w:p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原因</w:t>
            </w:r>
          </w:p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消滅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調校（由原任學校辦理）。</w:t>
            </w:r>
          </w:p>
          <w:p w:rsidR="00D14A7F" w:rsidRDefault="00683A5A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辭職、解聘、停聘、不續聘、留職停薪、退休。</w:t>
            </w:r>
          </w:p>
          <w:p w:rsidR="00D14A7F" w:rsidRDefault="00683A5A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實際未擔任教學者。</w:t>
            </w:r>
          </w:p>
          <w:p w:rsidR="00D14A7F" w:rsidRDefault="00683A5A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借調市政府服務。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事實發生</w:t>
            </w:r>
          </w:p>
          <w:p w:rsidR="00D14A7F" w:rsidRDefault="00683A5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個月內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緩召原因消滅名冊（一式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份）。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D14A7F" w:rsidRDefault="00D14A7F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4A7F">
        <w:trPr>
          <w:trHeight w:val="5100"/>
        </w:trPr>
        <w:tc>
          <w:tcPr>
            <w:tcW w:w="109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A7F" w:rsidRDefault="00683A5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附記</w:t>
            </w:r>
          </w:p>
        </w:tc>
        <w:tc>
          <w:tcPr>
            <w:tcW w:w="9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D14A7F" w:rsidRDefault="00683A5A">
            <w:pPr>
              <w:pStyle w:val="af5"/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檢附佐證資料，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4"/>
              </w:rPr>
              <w:t>均須註明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「與正本相符」並加蓋承辦人職名章；另塗改、修訂部份均需加蓋單位校正章，以明責任，俾利審核。</w:t>
            </w:r>
          </w:p>
          <w:p w:rsidR="00D14A7F" w:rsidRDefault="00683A5A">
            <w:pPr>
              <w:pStyle w:val="af5"/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新報到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任教及調校服務教師得於事實發生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日內，以新發生原因申辦緩召，餘原已於同一學校任教教師如漏辦申請，須以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年度初次申請案件申辦，不得以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年新發生原因案件申請。</w:t>
            </w:r>
          </w:p>
          <w:p w:rsidR="00D14A7F" w:rsidRDefault="00683A5A">
            <w:pPr>
              <w:pStyle w:val="af5"/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請於處理名冊「每週任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教節數」欄，載明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實際授課時數或檢附新學年度課表。</w:t>
            </w:r>
          </w:p>
          <w:p w:rsidR="00D14A7F" w:rsidRDefault="00683A5A">
            <w:pPr>
              <w:pStyle w:val="af5"/>
              <w:snapToGrid w:val="0"/>
              <w:spacing w:line="360" w:lineRule="exact"/>
              <w:ind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各階除役年齡如下：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士兵：義務役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36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歲除役（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73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年次）；志願役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45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歲除</w:t>
            </w:r>
          </w:p>
          <w:p w:rsidR="00D14A7F" w:rsidRDefault="00683A5A">
            <w:pPr>
              <w:pStyle w:val="af5"/>
              <w:snapToGrid w:val="0"/>
              <w:spacing w:line="360" w:lineRule="exact"/>
              <w:ind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役（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64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年次）；士官、尉官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歲除役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59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年次）；士官長、校官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58 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歲除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 </w:t>
            </w:r>
          </w:p>
          <w:p w:rsidR="00D14A7F" w:rsidRDefault="00683A5A">
            <w:pPr>
              <w:pStyle w:val="af5"/>
              <w:snapToGrid w:val="0"/>
              <w:spacing w:line="360" w:lineRule="exact"/>
              <w:ind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役（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51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年次），於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日生效除役。</w:t>
            </w:r>
          </w:p>
          <w:p w:rsidR="00D14A7F" w:rsidRDefault="00683A5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檢附之課表請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加註學校、學年度、學期、年級及申請人姓名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D14A7F" w:rsidRDefault="00683A5A">
            <w:pPr>
              <w:snapToGrid w:val="0"/>
              <w:spacing w:line="36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>六、</w:t>
            </w:r>
            <w:r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20"/>
                <w:sz w:val="28"/>
                <w:szCs w:val="28"/>
              </w:rPr>
              <w:t>調校服務教師辦理緩召新發生原因申請，如於暑假期間，得以學校開學之日起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2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Times New Roman"/>
                <w:b/>
                <w:color w:val="000000"/>
                <w:spacing w:val="-20"/>
                <w:sz w:val="28"/>
                <w:szCs w:val="28"/>
              </w:rPr>
              <w:t>日內申辦，請申請單位於公文說明處詳註學校開學日，並檢附申請人原學校離職證明辦理，以利審查。</w:t>
            </w:r>
          </w:p>
        </w:tc>
      </w:tr>
    </w:tbl>
    <w:p w:rsidR="00D14A7F" w:rsidRDefault="00D14A7F">
      <w:pPr>
        <w:spacing w:line="32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D14A7F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D14A7F" w:rsidRDefault="00683A5A">
      <w:pPr>
        <w:spacing w:line="400" w:lineRule="exact"/>
      </w:pPr>
      <w:r>
        <w:rPr>
          <w:rFonts w:ascii="標楷體" w:eastAsia="標楷體" w:hAnsi="標楷體" w:cs="Times New Roman"/>
          <w:sz w:val="32"/>
          <w:szCs w:val="32"/>
        </w:rPr>
        <w:br/>
      </w:r>
    </w:p>
    <w:sectPr w:rsidR="00D14A7F">
      <w:pgSz w:w="11906" w:h="16838"/>
      <w:pgMar w:top="1134" w:right="1077" w:bottom="992" w:left="107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90D"/>
    <w:multiLevelType w:val="multilevel"/>
    <w:tmpl w:val="3EE8C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2C2BBA"/>
    <w:multiLevelType w:val="multilevel"/>
    <w:tmpl w:val="714E50C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/>
        <w:b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2D7E7A"/>
    <w:multiLevelType w:val="multilevel"/>
    <w:tmpl w:val="BE7A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D14A7F"/>
    <w:rsid w:val="00683A5A"/>
    <w:rsid w:val="00D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本文縮排 字元"/>
    <w:basedOn w:val="a0"/>
    <w:qFormat/>
    <w:rPr>
      <w:rFonts w:ascii="標楷體" w:eastAsia="標楷體" w:hAnsi="標楷體" w:cs="Times New Roman"/>
      <w:sz w:val="40"/>
      <w:szCs w:val="24"/>
    </w:rPr>
  </w:style>
  <w:style w:type="character" w:customStyle="1" w:styleId="a6">
    <w:name w:val="純文字 字元"/>
    <w:basedOn w:val="a0"/>
    <w:qFormat/>
    <w:rPr>
      <w:rFonts w:ascii="細明體" w:eastAsia="細明體" w:hAnsi="細明體" w:cs="Courier New"/>
      <w:szCs w:val="24"/>
    </w:rPr>
  </w:style>
  <w:style w:type="character" w:customStyle="1" w:styleId="a7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qFormat/>
    <w:rPr>
      <w:rFonts w:eastAsia="標楷體" w:cs="Times New Roman"/>
    </w:rPr>
  </w:style>
  <w:style w:type="character" w:customStyle="1" w:styleId="ListLabel2">
    <w:name w:val="ListLabel 2"/>
    <w:qFormat/>
    <w:rPr>
      <w:lang w:val="en-US"/>
    </w:rPr>
  </w:style>
  <w:style w:type="character" w:customStyle="1" w:styleId="ListLabel3">
    <w:name w:val="ListLabel 3"/>
    <w:qFormat/>
    <w:rPr>
      <w:rFonts w:ascii="標楷體" w:eastAsia="標楷體" w:hAnsi="標楷體" w:cs="Times New Roman"/>
    </w:rPr>
  </w:style>
  <w:style w:type="character" w:customStyle="1" w:styleId="ListLabel4">
    <w:name w:val="ListLabel 4"/>
    <w:qFormat/>
    <w:rPr>
      <w:rFonts w:ascii="標楷體" w:eastAsia="標楷體" w:hAnsi="標楷體" w:cs="Times New Roman"/>
      <w:sz w:val="32"/>
    </w:rPr>
  </w:style>
  <w:style w:type="character" w:customStyle="1" w:styleId="ListLabel5">
    <w:name w:val="ListLabel 5"/>
    <w:qFormat/>
    <w:rPr>
      <w:rFonts w:eastAsia="標楷體" w:cs="Times New Roman"/>
    </w:rPr>
  </w:style>
  <w:style w:type="character" w:customStyle="1" w:styleId="ListLabel6">
    <w:name w:val="ListLabel 6"/>
    <w:qFormat/>
    <w:rPr>
      <w:rFonts w:eastAsia="標楷體" w:cs="Times New Roman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標楷體" w:hAnsi="標楷體"/>
      <w:b/>
      <w:color w:val="000000"/>
      <w:sz w:val="28"/>
    </w:rPr>
  </w:style>
  <w:style w:type="character" w:customStyle="1" w:styleId="a8">
    <w:name w:val="編號字元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pPr>
      <w:spacing w:line="360" w:lineRule="exact"/>
      <w:ind w:left="800" w:hanging="800"/>
      <w:jc w:val="both"/>
    </w:pPr>
    <w:rPr>
      <w:rFonts w:ascii="標楷體" w:eastAsia="標楷體" w:hAnsi="標楷體" w:cs="Times New Roman"/>
      <w:sz w:val="40"/>
      <w:szCs w:val="24"/>
    </w:rPr>
  </w:style>
  <w:style w:type="paragraph" w:customStyle="1" w:styleId="1">
    <w:name w:val="字元1 字元 字元 字元 字元 字元 字元 字元 字元"/>
    <w:basedOn w:val="a"/>
    <w:qFormat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f1">
    <w:name w:val="字元 字元"/>
    <w:basedOn w:val="a"/>
    <w:qFormat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f2">
    <w:name w:val="表格內容"/>
    <w:basedOn w:val="a"/>
    <w:qFormat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styleId="af3">
    <w:name w:val="Plain Text"/>
    <w:basedOn w:val="a"/>
    <w:qFormat/>
    <w:rPr>
      <w:rFonts w:ascii="細明體" w:eastAsia="細明體" w:hAnsi="細明體" w:cs="Courier New"/>
      <w:szCs w:val="24"/>
    </w:rPr>
  </w:style>
  <w:style w:type="paragraph" w:customStyle="1" w:styleId="af4">
    <w:name w:val="字元 字元 字元"/>
    <w:basedOn w:val="a"/>
    <w:qFormat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f5">
    <w:name w:val="List Paragraph"/>
    <w:basedOn w:val="a"/>
    <w:qFormat/>
    <w:pPr>
      <w:ind w:left="480"/>
    </w:pPr>
  </w:style>
  <w:style w:type="paragraph" w:styleId="af6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7">
    <w:name w:val="外框內容"/>
    <w:basedOn w:val="a"/>
    <w:qFormat/>
  </w:style>
  <w:style w:type="numbering" w:customStyle="1" w:styleId="10">
    <w:name w:val="無清單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286</Words>
  <Characters>1634</Characters>
  <Application>Microsoft Office Word</Application>
  <DocSecurity>0</DocSecurity>
  <Lines>13</Lines>
  <Paragraphs>3</Paragraphs>
  <ScaleCrop>false</ScaleCrop>
  <Company>國防部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臺中市後備指揮部後管科雇二資管員易文齡</dc:creator>
  <dc:description/>
  <cp:lastModifiedBy>user</cp:lastModifiedBy>
  <cp:revision>109</cp:revision>
  <cp:lastPrinted>2020-06-22T08:59:00Z</cp:lastPrinted>
  <dcterms:created xsi:type="dcterms:W3CDTF">2018-06-14T02:56:00Z</dcterms:created>
  <dcterms:modified xsi:type="dcterms:W3CDTF">2020-08-28T08:59:00Z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國防部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